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年农机购置补贴资金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使用情况说明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ind w:firstLine="640" w:firstLineChars="200"/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2022年度分配资金865万元 ，上年结余39.308万元，合计904.308万元。2022年农机购置补贴资金使用725.62万元，农机报废更新使用178.64万元，总计使用904.26万元，使用率100%；资金兑付904.26万元，兑付率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TIwMmI5MjgxMWJmZTIyNDYzYzEzNzZmMzE5YTcifQ=="/>
  </w:docVars>
  <w:rsids>
    <w:rsidRoot w:val="19050C8D"/>
    <w:rsid w:val="19050C8D"/>
    <w:rsid w:val="7045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142</Characters>
  <Lines>0</Lines>
  <Paragraphs>0</Paragraphs>
  <TotalTime>2</TotalTime>
  <ScaleCrop>false</ScaleCrop>
  <LinksUpToDate>false</LinksUpToDate>
  <CharactersWithSpaces>143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2022-12-07T08:06:00Z</dcterms:created>
  <dc:creator>文波</dc:creator>
  <cp:lastModifiedBy>文波</cp:lastModifiedBy>
  <dcterms:modified xsi:type="dcterms:W3CDTF">2022-12-07T08:09:26Z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6AEB061BABD04CDA9C01B77811777E3C</vt:lpwstr>
  </property>
</Properties>
</file>