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580" w:lineRule="exact"/>
        <w:jc w:val="center"/>
        <w:rPr>
          <w:rStyle w:val="7"/>
          <w:rFonts w:ascii="黑体" w:hAnsi="黑体"/>
          <w:sz w:val="18"/>
          <w:szCs w:val="18"/>
        </w:rPr>
      </w:pPr>
      <w:bookmarkStart w:id="0" w:name="_GoBack"/>
      <w:bookmarkEnd w:id="0"/>
      <w:r>
        <w:rPr>
          <w:rStyle w:val="7"/>
        </w:rPr>
        <w:t>光山县农机购置补贴机具核验制度</w:t>
      </w:r>
    </w:p>
    <w:p>
      <w:pPr>
        <w:spacing w:line="580" w:lineRule="exact"/>
        <w:ind w:firstLine="640" w:firstLineChars="200"/>
        <w:rPr>
          <w:rStyle w:val="7"/>
          <w:rFonts w:ascii="仿宋_GB2312" w:hAnsi="仿宋_GB2312" w:eastAsia="仿宋_GB2312"/>
          <w:sz w:val="32"/>
          <w:szCs w:val="32"/>
        </w:rPr>
      </w:pPr>
      <w:r>
        <w:rPr>
          <w:rStyle w:val="7"/>
          <w:rFonts w:ascii="仿宋_GB2312" w:hAnsi="仿宋_GB2312" w:eastAsia="仿宋_GB2312"/>
          <w:sz w:val="32"/>
          <w:szCs w:val="32"/>
        </w:rPr>
        <w:t>根据《河南省农业农村厅、河南省财政厅关于印发&lt;河南省2021-2023年农业机械购置补贴实施指导意见&gt;的通知》（豫农机文〔2021〕185号）、《河南省农机购置补贴机具核验工作要点（试行）》（豫农机文〔2020〕44号）、《关于印发〈河南省农机购置补贴异常情形报告制度（试行）〉》（豫农机文〔2020〕45号）要求，为了做好农机购置补贴机具核验工作，规范核验行为，防范管理风险，提高办补效率，进一步便民利民，特制定本办法。</w:t>
      </w:r>
    </w:p>
    <w:p>
      <w:pPr>
        <w:numPr>
          <w:ilvl w:val="0"/>
          <w:numId w:val="1"/>
        </w:numPr>
        <w:spacing w:line="580" w:lineRule="exact"/>
        <w:ind w:firstLine="640" w:firstLineChars="200"/>
        <w:rPr>
          <w:rStyle w:val="7"/>
          <w:rFonts w:ascii="黑体" w:hAnsi="黑体" w:eastAsia="黑体"/>
          <w:sz w:val="32"/>
          <w:szCs w:val="32"/>
        </w:rPr>
      </w:pPr>
      <w:r>
        <w:rPr>
          <w:rStyle w:val="7"/>
          <w:rFonts w:ascii="黑体" w:hAnsi="黑体" w:eastAsia="黑体"/>
          <w:sz w:val="32"/>
          <w:szCs w:val="32"/>
        </w:rPr>
        <w:t>核验内容</w:t>
      </w:r>
    </w:p>
    <w:p>
      <w:pPr>
        <w:spacing w:line="580" w:lineRule="exact"/>
        <w:rPr>
          <w:rStyle w:val="7"/>
          <w:rFonts w:ascii="黑体" w:hAnsi="黑体" w:eastAsia="黑体"/>
          <w:sz w:val="32"/>
          <w:szCs w:val="32"/>
        </w:rPr>
      </w:pPr>
      <w:r>
        <w:rPr>
          <w:rStyle w:val="7"/>
          <w:rFonts w:ascii="黑体" w:hAnsi="黑体" w:eastAsia="黑体"/>
          <w:sz w:val="32"/>
          <w:szCs w:val="32"/>
        </w:rPr>
        <w:t xml:space="preserve">   </w:t>
      </w:r>
      <w:r>
        <w:rPr>
          <w:rStyle w:val="7"/>
          <w:rFonts w:ascii="仿宋_GB2312" w:hAnsi="仿宋_GB2312" w:eastAsia="仿宋_GB2312"/>
          <w:sz w:val="32"/>
          <w:szCs w:val="32"/>
        </w:rPr>
        <w:t>补贴机具核验是指县农机主管部门对从事农业生产的个人和农业生产经营组织（以下简称“购机者”）申报农机购置补贴时提供的相关资料进行形式审核、对机具进行核验工作。</w:t>
      </w:r>
    </w:p>
    <w:p>
      <w:pPr>
        <w:snapToGrid w:val="0"/>
        <w:spacing w:line="580" w:lineRule="exact"/>
        <w:ind w:firstLine="643" w:firstLineChars="200"/>
        <w:rPr>
          <w:rStyle w:val="7"/>
          <w:rFonts w:ascii="仿宋_GB2312" w:hAnsi="仿宋_GB2312" w:eastAsia="仿宋_GB2312"/>
          <w:kern w:val="0"/>
          <w:sz w:val="32"/>
          <w:szCs w:val="32"/>
        </w:rPr>
      </w:pPr>
      <w:r>
        <w:rPr>
          <w:rStyle w:val="7"/>
          <w:rFonts w:ascii="楷体_GB2312" w:hAnsi="楷体_GB2312" w:eastAsia="楷体_GB2312" w:cs="楷体_GB2312"/>
          <w:b/>
          <w:bCs/>
          <w:kern w:val="0"/>
          <w:sz w:val="32"/>
          <w:szCs w:val="32"/>
        </w:rPr>
        <w:t>（一）购机者身份信息。</w:t>
      </w:r>
      <w:r>
        <w:rPr>
          <w:rStyle w:val="7"/>
          <w:rFonts w:ascii="仿宋_GB2312" w:hAnsi="仿宋_GB2312" w:eastAsia="仿宋_GB2312"/>
          <w:kern w:val="0"/>
          <w:sz w:val="32"/>
          <w:szCs w:val="32"/>
        </w:rPr>
        <w:t>个人身份证件或农业生产经营组织工商营业执照（统一社会信用代码）及其法定代表人身份证件等信息；</w:t>
      </w:r>
    </w:p>
    <w:p>
      <w:pPr>
        <w:snapToGrid w:val="0"/>
        <w:spacing w:line="580" w:lineRule="exact"/>
        <w:ind w:firstLine="643" w:firstLineChars="200"/>
        <w:rPr>
          <w:rStyle w:val="7"/>
          <w:rFonts w:ascii="仿宋_GB2312" w:hAnsi="仿宋_GB2312" w:eastAsia="仿宋_GB2312"/>
          <w:kern w:val="0"/>
          <w:sz w:val="32"/>
          <w:szCs w:val="32"/>
        </w:rPr>
      </w:pPr>
      <w:r>
        <w:rPr>
          <w:rStyle w:val="7"/>
          <w:rFonts w:ascii="楷体_GB2312" w:hAnsi="楷体_GB2312" w:eastAsia="楷体_GB2312" w:cs="楷体_GB2312"/>
          <w:b/>
          <w:bCs/>
          <w:kern w:val="0"/>
          <w:sz w:val="32"/>
          <w:szCs w:val="32"/>
        </w:rPr>
        <w:t>（二）购买信息。</w:t>
      </w:r>
      <w:r>
        <w:rPr>
          <w:rStyle w:val="7"/>
          <w:rFonts w:ascii="仿宋_GB2312" w:hAnsi="仿宋_GB2312" w:eastAsia="仿宋_GB2312"/>
          <w:kern w:val="0"/>
          <w:sz w:val="32"/>
          <w:szCs w:val="32"/>
        </w:rPr>
        <w:t>购买补贴机具税控发票等信息；</w:t>
      </w:r>
    </w:p>
    <w:p>
      <w:pPr>
        <w:snapToGrid w:val="0"/>
        <w:spacing w:line="580" w:lineRule="exact"/>
        <w:ind w:firstLine="643" w:firstLineChars="200"/>
        <w:rPr>
          <w:rStyle w:val="7"/>
          <w:rFonts w:ascii="仿宋_GB2312" w:hAnsi="仿宋_GB2312" w:eastAsia="仿宋_GB2312"/>
          <w:kern w:val="0"/>
          <w:sz w:val="32"/>
          <w:szCs w:val="32"/>
        </w:rPr>
      </w:pPr>
      <w:r>
        <w:rPr>
          <w:rStyle w:val="7"/>
          <w:rFonts w:ascii="楷体_GB2312" w:hAnsi="楷体_GB2312" w:eastAsia="楷体_GB2312" w:cs="楷体_GB2312"/>
          <w:b/>
          <w:bCs/>
          <w:kern w:val="0"/>
          <w:sz w:val="32"/>
          <w:szCs w:val="32"/>
        </w:rPr>
        <w:t>（三）机具信息。</w:t>
      </w:r>
      <w:r>
        <w:rPr>
          <w:rStyle w:val="7"/>
          <w:rFonts w:ascii="仿宋_GB2312" w:hAnsi="仿宋_GB2312" w:eastAsia="仿宋_GB2312"/>
          <w:kern w:val="0"/>
          <w:sz w:val="32"/>
          <w:szCs w:val="32"/>
        </w:rPr>
        <w:t>机具实物上的固定铭牌信息（出厂编号）、农机购置补贴辅助管理系统对应机具的信息、牌证管理机具的行驶证信息(</w:t>
      </w:r>
      <w:r>
        <w:rPr>
          <w:rStyle w:val="7"/>
          <w:rFonts w:ascii="仿宋_GB2312" w:hAnsi="仿宋_GB2312" w:eastAsia="仿宋_GB2312"/>
          <w:sz w:val="32"/>
          <w:szCs w:val="32"/>
        </w:rPr>
        <w:t>机具发动机号、车架号</w:t>
      </w:r>
      <w:r>
        <w:rPr>
          <w:rStyle w:val="7"/>
          <w:rFonts w:ascii="仿宋_GB2312" w:hAnsi="仿宋_GB2312" w:eastAsia="仿宋_GB2312"/>
          <w:kern w:val="0"/>
          <w:sz w:val="32"/>
          <w:szCs w:val="32"/>
        </w:rPr>
        <w:t>）等；</w:t>
      </w:r>
    </w:p>
    <w:p>
      <w:pPr>
        <w:snapToGrid w:val="0"/>
        <w:spacing w:line="580" w:lineRule="exact"/>
        <w:ind w:firstLine="643" w:firstLineChars="200"/>
        <w:rPr>
          <w:rStyle w:val="7"/>
          <w:rFonts w:ascii="仿宋_GB2312" w:hAnsi="仿宋_GB2312" w:eastAsia="仿宋_GB2312"/>
          <w:kern w:val="0"/>
          <w:sz w:val="32"/>
          <w:szCs w:val="32"/>
        </w:rPr>
      </w:pPr>
      <w:r>
        <w:rPr>
          <w:rStyle w:val="7"/>
          <w:rFonts w:ascii="楷体_GB2312" w:hAnsi="楷体_GB2312" w:eastAsia="楷体_GB2312" w:cs="楷体_GB2312"/>
          <w:b/>
          <w:bCs/>
          <w:kern w:val="0"/>
          <w:sz w:val="32"/>
          <w:szCs w:val="32"/>
        </w:rPr>
        <w:t>（四）其他信息。</w:t>
      </w:r>
      <w:r>
        <w:rPr>
          <w:rStyle w:val="7"/>
          <w:rFonts w:ascii="仿宋_GB2312" w:hAnsi="仿宋_GB2312" w:eastAsia="仿宋_GB2312"/>
          <w:kern w:val="0"/>
          <w:sz w:val="32"/>
          <w:szCs w:val="32"/>
        </w:rPr>
        <w:t>购机者银行卡（折）账号、开户名等信息，以及政策实施要求提供的其他必要信息。</w:t>
      </w:r>
    </w:p>
    <w:p>
      <w:pPr>
        <w:snapToGrid w:val="0"/>
        <w:spacing w:line="580" w:lineRule="exact"/>
        <w:ind w:firstLine="640" w:firstLineChars="200"/>
        <w:rPr>
          <w:rStyle w:val="7"/>
          <w:rFonts w:ascii="仿宋_GB2312" w:hAnsi="仿宋_GB2312" w:eastAsia="仿宋_GB2312"/>
          <w:kern w:val="0"/>
          <w:sz w:val="32"/>
          <w:szCs w:val="32"/>
        </w:rPr>
      </w:pPr>
      <w:r>
        <w:rPr>
          <w:rStyle w:val="7"/>
          <w:rFonts w:ascii="仿宋_GB2312" w:hAnsi="仿宋_GB2312" w:eastAsia="仿宋_GB2312"/>
          <w:kern w:val="0"/>
          <w:sz w:val="32"/>
          <w:szCs w:val="32"/>
        </w:rPr>
        <w:t>上述信息的真实性、完整性和有效性由购机者、产销企业和农机安全监理机构分别负责，并承担相应的法律责任。</w:t>
      </w:r>
    </w:p>
    <w:p>
      <w:pPr>
        <w:spacing w:line="580" w:lineRule="exact"/>
        <w:ind w:firstLine="640" w:firstLineChars="200"/>
        <w:rPr>
          <w:rStyle w:val="7"/>
          <w:rFonts w:ascii="黑体" w:hAnsi="黑体" w:eastAsia="黑体"/>
          <w:sz w:val="32"/>
          <w:szCs w:val="32"/>
        </w:rPr>
      </w:pPr>
      <w:r>
        <w:rPr>
          <w:rStyle w:val="7"/>
          <w:rFonts w:ascii="黑体" w:hAnsi="黑体" w:eastAsia="黑体"/>
          <w:sz w:val="32"/>
          <w:szCs w:val="32"/>
        </w:rPr>
        <w:t>二、具体核验操作办法</w:t>
      </w:r>
    </w:p>
    <w:p>
      <w:pPr>
        <w:spacing w:line="580" w:lineRule="exact"/>
        <w:ind w:firstLine="643" w:firstLineChars="200"/>
        <w:rPr>
          <w:rStyle w:val="7"/>
          <w:rFonts w:ascii="黑体" w:hAnsi="黑体" w:eastAsia="黑体"/>
          <w:sz w:val="32"/>
          <w:szCs w:val="32"/>
        </w:rPr>
      </w:pPr>
      <w:r>
        <w:rPr>
          <w:rStyle w:val="7"/>
          <w:rFonts w:ascii="楷体_GB2312" w:hAnsi="宋体" w:eastAsia="楷体_GB2312" w:cs="楷体_GB2312"/>
          <w:b/>
          <w:bCs/>
          <w:kern w:val="0"/>
          <w:sz w:val="32"/>
          <w:szCs w:val="32"/>
        </w:rPr>
        <w:t>办理时限</w:t>
      </w:r>
      <w:r>
        <w:rPr>
          <w:rStyle w:val="7"/>
          <w:rFonts w:hint="eastAsia" w:ascii="楷体_GB2312" w:hAnsi="宋体" w:eastAsia="楷体_GB2312" w:cs="楷体_GB2312"/>
          <w:b/>
          <w:bCs/>
          <w:kern w:val="0"/>
          <w:sz w:val="32"/>
          <w:szCs w:val="32"/>
        </w:rPr>
        <w:t>。</w:t>
      </w:r>
      <w:r>
        <w:rPr>
          <w:rStyle w:val="7"/>
          <w:rFonts w:hint="eastAsia" w:ascii="黑体" w:hAnsi="黑体" w:eastAsia="黑体"/>
          <w:sz w:val="32"/>
          <w:szCs w:val="32"/>
        </w:rPr>
        <w:t>在收到购机者补贴申请后，应于2个工作日内做出是否受理的决定，对因资料不齐全等原因无法受理的，应注明原因，并按原渠道退回申请；对符合条件可以受理的，应于13个工作日内（不含公示时间）完成相关核验工作。</w:t>
      </w:r>
    </w:p>
    <w:p>
      <w:pPr>
        <w:spacing w:line="580" w:lineRule="exact"/>
        <w:ind w:firstLine="643" w:firstLineChars="200"/>
        <w:rPr>
          <w:rStyle w:val="7"/>
          <w:rFonts w:ascii="仿宋_GB2312" w:hAnsi="宋体" w:eastAsia="仿宋_GB2312" w:cs="仿宋_GB2312"/>
          <w:b/>
          <w:bCs/>
          <w:kern w:val="0"/>
          <w:sz w:val="32"/>
          <w:szCs w:val="32"/>
        </w:rPr>
      </w:pPr>
      <w:r>
        <w:rPr>
          <w:rStyle w:val="7"/>
          <w:rFonts w:ascii="楷体_GB2312" w:hAnsi="宋体" w:eastAsia="楷体_GB2312" w:cs="楷体_GB2312"/>
          <w:b/>
          <w:bCs/>
          <w:kern w:val="0"/>
          <w:sz w:val="32"/>
          <w:szCs w:val="32"/>
        </w:rPr>
        <w:t>资料核验。</w:t>
      </w:r>
      <w:r>
        <w:rPr>
          <w:rStyle w:val="7"/>
          <w:rFonts w:ascii="仿宋_GB2312" w:hAnsi="宋体" w:eastAsia="仿宋_GB2312" w:cs="仿宋_GB2312"/>
          <w:b/>
          <w:bCs/>
          <w:kern w:val="0"/>
          <w:sz w:val="32"/>
          <w:szCs w:val="32"/>
        </w:rPr>
        <w:t>一是购机者及其身份、购机税控发票等资料。</w:t>
      </w:r>
      <w:r>
        <w:rPr>
          <w:rStyle w:val="7"/>
          <w:rFonts w:ascii="仿宋_GB2312" w:hAnsi="宋体" w:eastAsia="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Style w:val="7"/>
          <w:rFonts w:ascii="仿宋_GB2312" w:hAnsi="宋体" w:eastAsia="仿宋_GB2312" w:cs="仿宋_GB2312"/>
          <w:b/>
          <w:bCs/>
          <w:kern w:val="0"/>
          <w:sz w:val="32"/>
          <w:szCs w:val="32"/>
        </w:rPr>
        <w:t>二是银行卡（折）等资料。</w:t>
      </w:r>
      <w:r>
        <w:rPr>
          <w:rStyle w:val="7"/>
          <w:rFonts w:ascii="仿宋_GB2312" w:hAnsi="宋体" w:eastAsia="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Style w:val="7"/>
          <w:rFonts w:ascii="仿宋_GB2312" w:hAnsi="宋体" w:eastAsia="仿宋_GB2312" w:cs="仿宋_GB2312"/>
          <w:b/>
          <w:bCs/>
          <w:kern w:val="0"/>
          <w:sz w:val="32"/>
          <w:szCs w:val="32"/>
        </w:rPr>
        <w:t>三是在申请表上签名，对购机价格真实性承诺。</w:t>
      </w:r>
      <w:r>
        <w:rPr>
          <w:rStyle w:val="7"/>
          <w:rFonts w:ascii="仿宋_GB2312" w:hAnsi="宋体" w:eastAsia="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Style w:val="7"/>
          <w:rFonts w:ascii="仿宋_GB2312" w:hAnsi="宋体" w:eastAsia="仿宋_GB2312" w:cs="仿宋_GB2312"/>
          <w:b/>
          <w:bCs/>
          <w:kern w:val="0"/>
          <w:sz w:val="32"/>
          <w:szCs w:val="32"/>
        </w:rPr>
        <w:t>四是政策实施要求提供的其他资料。</w:t>
      </w:r>
    </w:p>
    <w:p>
      <w:pPr>
        <w:spacing w:line="580" w:lineRule="exact"/>
        <w:ind w:firstLine="643" w:firstLineChars="200"/>
        <w:rPr>
          <w:rStyle w:val="7"/>
          <w:rFonts w:ascii="仿宋_GB2312" w:hAnsi="仿宋_GB2312" w:eastAsia="仿宋_GB2312"/>
          <w:sz w:val="32"/>
          <w:szCs w:val="32"/>
        </w:rPr>
      </w:pPr>
      <w:r>
        <w:rPr>
          <w:rStyle w:val="7"/>
          <w:rFonts w:ascii="楷体_GB2312" w:hAnsi="宋体" w:eastAsia="楷体_GB2312" w:cs="楷体_GB2312"/>
          <w:b/>
          <w:bCs/>
          <w:kern w:val="0"/>
          <w:sz w:val="32"/>
          <w:szCs w:val="32"/>
        </w:rPr>
        <w:t>机具核验。</w:t>
      </w:r>
      <w:r>
        <w:rPr>
          <w:rStyle w:val="7"/>
          <w:rFonts w:ascii="仿宋_GB2312" w:hAnsi="仿宋_GB2312" w:eastAsia="仿宋_GB2312"/>
          <w:sz w:val="32"/>
          <w:szCs w:val="32"/>
        </w:rPr>
        <w:t>核验工作中，工作人员要做到“见机、见人、见发票”，并完成喷涂标识、现场人机合影拍照、补贴对象在核验手续上现场签字确认，编号建档等工作。实行牌证管理的机具，由农机安全监理机构在办理牌证过程中一并核验，非牌证管理机具由农机购置补贴核验小组负责核验。</w:t>
      </w:r>
      <w:r>
        <w:rPr>
          <w:rStyle w:val="7"/>
          <w:rFonts w:ascii="仿宋_GB2312" w:hAnsi="仿宋_GB2312" w:eastAsia="仿宋_GB2312"/>
          <w:kern w:val="0"/>
          <w:sz w:val="32"/>
          <w:szCs w:val="32"/>
        </w:rPr>
        <w:t>重点核验购机税控发票所显示的机具名称、生产企业、型号、发动机号（不带动力的可不核验）、出厂编号与所购实物机具铭牌显示信息是否一致，购机税控发票所显示的经销企业与农机购置补贴辅助管理系统内对应的经销信息是否一致。</w:t>
      </w:r>
      <w:r>
        <w:rPr>
          <w:rStyle w:val="7"/>
          <w:rFonts w:ascii="仿宋_GB2312" w:hAnsi="仿宋_GB2312" w:eastAsia="仿宋_GB2312"/>
          <w:sz w:val="32"/>
          <w:szCs w:val="32"/>
        </w:rPr>
        <w:t>重点加强对大型机具、单人多台套、短期内大批量、同人连年购置同类机具、区域适应性差的机具购置等异常申请补贴机具的核验和监管。实行购机真实性承诺、受益信息事实公开和事后抽查核验相结合的补贴机具监管方式，抽查比例不低于30%。</w:t>
      </w:r>
    </w:p>
    <w:p>
      <w:pPr>
        <w:spacing w:line="580" w:lineRule="exact"/>
        <w:ind w:firstLine="643" w:firstLineChars="200"/>
        <w:rPr>
          <w:rStyle w:val="7"/>
          <w:rFonts w:ascii="仿宋_GB2312" w:hAnsi="仿宋_GB2312" w:eastAsia="仿宋_GB2312"/>
          <w:sz w:val="32"/>
          <w:szCs w:val="32"/>
        </w:rPr>
      </w:pPr>
      <w:r>
        <w:rPr>
          <w:rStyle w:val="7"/>
          <w:rFonts w:ascii="楷体_GB2312" w:hAnsi="宋体" w:eastAsia="楷体_GB2312" w:cs="楷体_GB2312"/>
          <w:b/>
          <w:bCs/>
          <w:kern w:val="0"/>
          <w:sz w:val="32"/>
          <w:szCs w:val="32"/>
        </w:rPr>
        <w:t>资料处理。</w:t>
      </w:r>
      <w:r>
        <w:rPr>
          <w:rStyle w:val="7"/>
          <w:rFonts w:ascii="仿宋_GB2312" w:hAnsi="宋体" w:eastAsia="仿宋_GB2312"/>
          <w:kern w:val="0"/>
          <w:sz w:val="32"/>
          <w:szCs w:val="32"/>
        </w:rPr>
        <w:t>对财政部门未提出疑义的补贴申请，将其核验资料留存备用备查，留存补贴档案室，期限不少于5年。</w:t>
      </w:r>
    </w:p>
    <w:p>
      <w:pPr>
        <w:pStyle w:val="9"/>
        <w:snapToGrid w:val="0"/>
        <w:spacing w:line="580" w:lineRule="exact"/>
        <w:ind w:firstLine="640"/>
        <w:rPr>
          <w:rStyle w:val="7"/>
          <w:rFonts w:ascii="仿宋_GB2312" w:hAnsi="仿宋_GB2312" w:eastAsia="仿宋_GB2312"/>
          <w:kern w:val="0"/>
          <w:sz w:val="32"/>
          <w:szCs w:val="32"/>
        </w:rPr>
      </w:pPr>
      <w:r>
        <w:rPr>
          <w:rStyle w:val="7"/>
          <w:rFonts w:ascii="仿宋_GB2312" w:hAnsi="仿宋_GB2312" w:eastAsia="仿宋_GB2312"/>
          <w:kern w:val="0"/>
          <w:sz w:val="32"/>
          <w:szCs w:val="32"/>
        </w:rPr>
        <w:t xml:space="preserve">未通过核验的，应将所发现的问题一次性告知购机者，并说明完善方法。  </w:t>
      </w:r>
    </w:p>
    <w:p>
      <w:pPr>
        <w:snapToGrid w:val="0"/>
        <w:spacing w:line="580" w:lineRule="exact"/>
        <w:ind w:firstLine="640" w:firstLineChars="200"/>
        <w:rPr>
          <w:rStyle w:val="7"/>
          <w:rFonts w:ascii="黑体" w:hAnsi="黑体" w:eastAsia="黑体"/>
          <w:kern w:val="0"/>
          <w:sz w:val="32"/>
          <w:szCs w:val="32"/>
        </w:rPr>
      </w:pPr>
      <w:r>
        <w:rPr>
          <w:rStyle w:val="7"/>
          <w:rFonts w:ascii="黑体" w:hAnsi="黑体" w:eastAsia="黑体"/>
          <w:kern w:val="0"/>
          <w:sz w:val="32"/>
          <w:szCs w:val="32"/>
        </w:rPr>
        <w:t>三、监督管理及</w:t>
      </w:r>
      <w:r>
        <w:rPr>
          <w:rStyle w:val="7"/>
          <w:rFonts w:ascii="黑体" w:hAnsi="黑体" w:eastAsia="黑体"/>
          <w:sz w:val="32"/>
          <w:szCs w:val="32"/>
        </w:rPr>
        <w:t>核验工作责任</w:t>
      </w:r>
    </w:p>
    <w:p>
      <w:pPr>
        <w:pStyle w:val="9"/>
        <w:snapToGrid w:val="0"/>
        <w:spacing w:line="580" w:lineRule="exact"/>
        <w:ind w:firstLineChars="0"/>
        <w:rPr>
          <w:rStyle w:val="7"/>
          <w:rFonts w:ascii="仿宋_GB2312" w:hAnsi="仿宋_GB2312" w:eastAsia="仿宋_GB2312"/>
          <w:kern w:val="0"/>
          <w:sz w:val="32"/>
          <w:szCs w:val="32"/>
        </w:rPr>
      </w:pPr>
      <w:r>
        <w:rPr>
          <w:rStyle w:val="7"/>
          <w:rFonts w:ascii="仿宋_GB2312" w:hAnsi="仿宋_GB2312" w:eastAsia="仿宋_GB2312"/>
          <w:kern w:val="0"/>
          <w:sz w:val="32"/>
          <w:szCs w:val="32"/>
        </w:rPr>
        <w:t xml:space="preserve">   </w:t>
      </w:r>
      <w:r>
        <w:rPr>
          <w:rStyle w:val="7"/>
          <w:rFonts w:ascii="楷体_GB2312" w:hAnsi="楷体_GB2312" w:eastAsia="楷体_GB2312" w:cs="楷体_GB2312"/>
          <w:b/>
          <w:bCs/>
          <w:kern w:val="0"/>
          <w:sz w:val="32"/>
          <w:szCs w:val="32"/>
        </w:rPr>
        <w:t xml:space="preserve"> （一）加强核验人员队伍建设。</w:t>
      </w:r>
      <w:r>
        <w:rPr>
          <w:rStyle w:val="7"/>
          <w:rFonts w:ascii="仿宋_GB2312" w:hAnsi="宋体" w:eastAsia="仿宋_GB2312"/>
          <w:kern w:val="0"/>
          <w:sz w:val="32"/>
          <w:szCs w:val="32"/>
        </w:rPr>
        <w:t>选配责任心强、业</w:t>
      </w:r>
      <w:r>
        <w:rPr>
          <w:rStyle w:val="7"/>
          <w:rFonts w:ascii="仿宋_GB2312" w:hAnsi="仿宋_GB2312" w:eastAsia="仿宋_GB2312"/>
          <w:kern w:val="0"/>
          <w:sz w:val="32"/>
          <w:szCs w:val="32"/>
        </w:rPr>
        <w:t>务素质高、作风优良的干部从事核验工作，对其每年至少开展一次廉洁从政、业务技能等方面的教育培训。建立健全分管领导监督机制，逐步实行补贴申请受理、补贴机具核验岗位分离，明确岗位职责。</w:t>
      </w:r>
    </w:p>
    <w:p>
      <w:pPr>
        <w:pStyle w:val="9"/>
        <w:snapToGrid w:val="0"/>
        <w:spacing w:line="580" w:lineRule="exact"/>
        <w:ind w:firstLineChars="0"/>
        <w:rPr>
          <w:rStyle w:val="7"/>
          <w:rFonts w:ascii="仿宋_GB2312" w:hAnsi="仿宋_GB2312" w:eastAsia="仿宋_GB2312"/>
          <w:kern w:val="0"/>
          <w:sz w:val="32"/>
          <w:szCs w:val="32"/>
        </w:rPr>
      </w:pPr>
      <w:r>
        <w:rPr>
          <w:rStyle w:val="7"/>
          <w:rFonts w:ascii="仿宋_GB2312" w:hAnsi="仿宋_GB2312" w:eastAsia="仿宋_GB2312"/>
          <w:kern w:val="0"/>
          <w:sz w:val="32"/>
          <w:szCs w:val="32"/>
        </w:rPr>
        <w:t xml:space="preserve">    </w:t>
      </w:r>
      <w:r>
        <w:rPr>
          <w:rStyle w:val="7"/>
          <w:rFonts w:ascii="楷体_GB2312" w:hAnsi="楷体_GB2312" w:eastAsia="楷体_GB2312" w:cs="楷体_GB2312"/>
          <w:b/>
          <w:bCs/>
          <w:kern w:val="0"/>
          <w:sz w:val="32"/>
          <w:szCs w:val="32"/>
        </w:rPr>
        <w:t>（二）推行购机承诺践诺。</w:t>
      </w:r>
      <w:r>
        <w:rPr>
          <w:rStyle w:val="7"/>
          <w:rFonts w:ascii="仿宋_GB2312" w:hAnsi="仿宋_GB2312" w:eastAsia="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spacing w:line="580" w:lineRule="exact"/>
        <w:ind w:firstLine="643" w:firstLineChars="200"/>
        <w:rPr>
          <w:rStyle w:val="7"/>
          <w:rFonts w:ascii="仿宋_GB2312" w:hAnsi="仿宋_GB2312" w:eastAsia="仿宋_GB2312"/>
          <w:sz w:val="32"/>
          <w:szCs w:val="32"/>
        </w:rPr>
      </w:pPr>
      <w:r>
        <w:rPr>
          <w:rStyle w:val="7"/>
          <w:rFonts w:ascii="楷体_GB2312" w:hAnsi="楷体_GB2312" w:eastAsia="楷体_GB2312" w:cs="楷体_GB2312"/>
          <w:b/>
          <w:bCs/>
          <w:kern w:val="0"/>
          <w:sz w:val="32"/>
          <w:szCs w:val="32"/>
        </w:rPr>
        <w:t>（三）全面排查违规线索。</w:t>
      </w:r>
      <w:r>
        <w:rPr>
          <w:rStyle w:val="7"/>
          <w:rFonts w:ascii="仿宋_GB2312" w:hAnsi="仿宋_GB2312" w:eastAsia="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农机购置补贴领导小组研究决策</w:t>
      </w:r>
    </w:p>
    <w:p>
      <w:pPr>
        <w:spacing w:line="580" w:lineRule="exact"/>
        <w:ind w:firstLine="643" w:firstLineChars="200"/>
        <w:rPr>
          <w:rStyle w:val="7"/>
          <w:rFonts w:ascii="仿宋_GB2312" w:hAnsi="仿宋_GB2312" w:eastAsia="仿宋_GB2312"/>
          <w:sz w:val="32"/>
          <w:szCs w:val="32"/>
        </w:rPr>
      </w:pPr>
      <w:r>
        <w:rPr>
          <w:rStyle w:val="7"/>
          <w:rFonts w:ascii="楷体_GB2312" w:hAnsi="楷体_GB2312" w:eastAsia="楷体_GB2312" w:cs="楷体_GB2312"/>
          <w:b/>
          <w:bCs/>
          <w:kern w:val="0"/>
          <w:sz w:val="32"/>
          <w:szCs w:val="32"/>
        </w:rPr>
        <w:t>（四）核验工作责任。</w:t>
      </w:r>
      <w:r>
        <w:rPr>
          <w:rStyle w:val="7"/>
          <w:rFonts w:ascii="仿宋_GB2312" w:hAnsi="仿宋_GB2312" w:eastAsia="仿宋_GB2312"/>
          <w:sz w:val="32"/>
          <w:szCs w:val="32"/>
        </w:rPr>
        <w:t>补贴机具的核验工作，严格落实“谁核验，谁签字;谁签字，谁负责”的责任追究制度。</w:t>
      </w:r>
    </w:p>
    <w:p>
      <w:pPr>
        <w:spacing w:line="580" w:lineRule="exact"/>
        <w:ind w:left="5430" w:leftChars="1976" w:hanging="1280"/>
        <w:rPr>
          <w:rStyle w:val="7"/>
          <w:rFonts w:ascii="仿宋_GB2312" w:hAnsi="仿宋_GB2312" w:eastAsia="仿宋_GB2312"/>
          <w:sz w:val="32"/>
          <w:szCs w:val="32"/>
        </w:rPr>
      </w:pPr>
    </w:p>
    <w:p>
      <w:pPr>
        <w:spacing w:line="580" w:lineRule="exact"/>
        <w:ind w:left="5430" w:leftChars="1976" w:hanging="1280"/>
        <w:rPr>
          <w:rStyle w:val="7"/>
          <w:rFonts w:ascii="仿宋_GB2312" w:hAnsi="仿宋_GB2312" w:eastAsia="仿宋_GB2312"/>
          <w:sz w:val="32"/>
          <w:szCs w:val="32"/>
        </w:rPr>
      </w:pPr>
    </w:p>
    <w:p>
      <w:pPr>
        <w:spacing w:line="580" w:lineRule="exact"/>
        <w:ind w:left="5430" w:leftChars="1976" w:hanging="1280"/>
        <w:rPr>
          <w:rStyle w:val="7"/>
          <w:rFonts w:ascii="仿宋_GB2312" w:hAnsi="仿宋_GB2312" w:eastAsia="仿宋_GB2312"/>
          <w:sz w:val="32"/>
          <w:szCs w:val="32"/>
        </w:rPr>
      </w:pPr>
      <w:r>
        <w:rPr>
          <w:rStyle w:val="7"/>
          <w:rFonts w:ascii="仿宋_GB2312" w:hAnsi="仿宋_GB2312" w:eastAsia="仿宋_GB2312"/>
          <w:sz w:val="32"/>
          <w:szCs w:val="32"/>
        </w:rPr>
        <w:t>光山县农业机械化技术中心</w:t>
      </w:r>
    </w:p>
    <w:p>
      <w:pPr>
        <w:spacing w:line="580" w:lineRule="exact"/>
        <w:ind w:left="5427" w:leftChars="2432" w:hanging="320"/>
        <w:rPr>
          <w:rStyle w:val="7"/>
          <w:rFonts w:ascii="仿宋_GB2312" w:hAnsi="仿宋_GB2312" w:eastAsia="仿宋_GB2312"/>
          <w:sz w:val="32"/>
          <w:szCs w:val="32"/>
        </w:rPr>
      </w:pPr>
      <w:r>
        <w:rPr>
          <w:rStyle w:val="7"/>
          <w:rFonts w:ascii="仿宋_GB2312" w:hAnsi="仿宋_GB2312" w:eastAsia="仿宋_GB2312"/>
          <w:sz w:val="32"/>
          <w:szCs w:val="32"/>
        </w:rPr>
        <w:t>202</w:t>
      </w:r>
      <w:r>
        <w:rPr>
          <w:rStyle w:val="7"/>
          <w:rFonts w:hint="eastAsia" w:ascii="仿宋_GB2312" w:hAnsi="仿宋_GB2312" w:eastAsia="仿宋_GB2312"/>
          <w:sz w:val="32"/>
          <w:szCs w:val="32"/>
          <w:lang w:val="en-US" w:eastAsia="zh-CN"/>
        </w:rPr>
        <w:t>2</w:t>
      </w:r>
      <w:r>
        <w:rPr>
          <w:rStyle w:val="7"/>
          <w:rFonts w:ascii="仿宋_GB2312" w:hAnsi="仿宋_GB2312" w:eastAsia="仿宋_GB2312"/>
          <w:sz w:val="32"/>
          <w:szCs w:val="32"/>
        </w:rPr>
        <w:t>年</w:t>
      </w:r>
      <w:r>
        <w:rPr>
          <w:rStyle w:val="7"/>
          <w:rFonts w:hint="eastAsia" w:ascii="仿宋_GB2312" w:hAnsi="仿宋_GB2312" w:eastAsia="仿宋_GB2312"/>
          <w:sz w:val="32"/>
          <w:szCs w:val="32"/>
        </w:rPr>
        <w:t>7</w:t>
      </w:r>
      <w:r>
        <w:rPr>
          <w:rStyle w:val="7"/>
          <w:rFonts w:ascii="仿宋_GB2312" w:hAnsi="仿宋_GB2312" w:eastAsia="仿宋_GB2312"/>
          <w:sz w:val="32"/>
          <w:szCs w:val="32"/>
        </w:rPr>
        <w:t>月</w:t>
      </w:r>
      <w:r>
        <w:rPr>
          <w:rStyle w:val="7"/>
          <w:rFonts w:hint="eastAsia" w:ascii="仿宋_GB2312" w:hAnsi="仿宋_GB2312" w:eastAsia="仿宋_GB2312"/>
          <w:sz w:val="32"/>
          <w:szCs w:val="32"/>
        </w:rPr>
        <w:t>26</w:t>
      </w:r>
      <w:r>
        <w:rPr>
          <w:rStyle w:val="7"/>
          <w:rFonts w:ascii="仿宋_GB2312" w:hAnsi="仿宋_GB2312" w:eastAsia="仿宋_GB2312"/>
          <w:sz w:val="32"/>
          <w:szCs w:val="32"/>
        </w:rPr>
        <w:t>日</w:t>
      </w:r>
    </w:p>
    <w:p>
      <w:pPr>
        <w:rPr>
          <w:rStyle w:val="7"/>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7"/>
      </w:rPr>
    </w:pPr>
    <w:r>
      <w:rPr>
        <w:rStyle w:val="7"/>
      </w:rPr>
      <w:pict>
        <v:shape id="_x0000_s4097" o:spid="_x0000_s4097" o:spt="202" type="#_x0000_t202" style="position:absolute;left:0pt;margin-top:0pt;height:144pt;width:144pt;mso-position-horizontal:outside;mso-position-horizontal-relative:margin;z-index:251659264;mso-width-relative:page;mso-height-relative:page;" filled="f" stroked="f" coordsize="21600,21600">
          <v:path/>
          <v:fill on="f" focussize="0,0"/>
          <v:stroke on="f" joinstyle="miter"/>
          <v:imagedata o:title=""/>
          <o:lock v:ext="edit"/>
          <v:textbox inset="0mm,0mm,0mm,0mm">
            <w:txbxContent>
              <w:p>
                <w:pPr>
                  <w:pStyle w:val="2"/>
                  <w:rPr>
                    <w:rStyle w:val="7"/>
                    <w:rFonts w:ascii="Times New Roman" w:hAnsi="Times New Roman"/>
                    <w:sz w:val="24"/>
                  </w:rPr>
                </w:pPr>
                <w:r>
                  <w:rPr>
                    <w:rStyle w:val="7"/>
                    <w:rFonts w:ascii="Times New Roman" w:hAnsi="Times New Roman"/>
                    <w:sz w:val="24"/>
                  </w:rPr>
                  <w:t>—  —</w:t>
                </w:r>
              </w:p>
              <w:p>
                <w:pPr>
                  <w:rPr>
                    <w:rStyle w:val="7"/>
                  </w:rPr>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8F1F1A"/>
    <w:multiLevelType w:val="singleLevel"/>
    <w:tmpl w:val="7C8F1F1A"/>
    <w:lvl w:ilvl="0" w:tentative="0">
      <w:start w:val="1"/>
      <w:numFmt w:val="chineseCounting"/>
      <w:suff w:val="nothing"/>
      <w:lvlText w:val="%1、"/>
      <w:lvlJc w:val="left"/>
      <w:pPr>
        <w:widowControl/>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hdrShapeDefaults>
    <o:shapelayout v:ext="edit">
      <o:idmap v:ext="edit" data="3,4"/>
    </o:shapelayout>
  </w:hdrShapeDefaults>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NjViNWI3Njk1ZjY0MDg0MGVhOWU0OTNhNjY4Zjk2MGEifQ=="/>
  </w:docVars>
  <w:rsids>
    <w:rsidRoot w:val="008A1A9F"/>
    <w:rsid w:val="0065050E"/>
    <w:rsid w:val="008A1A9F"/>
    <w:rsid w:val="00BA2635"/>
    <w:rsid w:val="07D62FEC"/>
    <w:rsid w:val="162C6AF9"/>
    <w:rsid w:val="3902078A"/>
    <w:rsid w:val="3CF37B22"/>
    <w:rsid w:val="4DFE3FAE"/>
    <w:rsid w:val="575C3F85"/>
    <w:rsid w:val="69D54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customStyle="1" w:styleId="6">
    <w:name w:val="Heading1"/>
    <w:basedOn w:val="1"/>
    <w:next w:val="1"/>
    <w:uiPriority w:val="0"/>
    <w:pPr>
      <w:keepNext/>
      <w:keepLines/>
      <w:spacing w:before="340" w:after="330" w:line="576" w:lineRule="auto"/>
    </w:pPr>
    <w:rPr>
      <w:b/>
      <w:kern w:val="44"/>
      <w:sz w:val="44"/>
    </w:rPr>
  </w:style>
  <w:style w:type="character" w:customStyle="1" w:styleId="7">
    <w:name w:val="NormalCharacter"/>
    <w:semiHidden/>
    <w:uiPriority w:val="0"/>
  </w:style>
  <w:style w:type="table" w:customStyle="1" w:styleId="8">
    <w:name w:val="TableNormal"/>
    <w:semiHidden/>
    <w:uiPriority w:val="0"/>
    <w:tblPr>
      <w:tblCellMar>
        <w:top w:w="0" w:type="dxa"/>
        <w:left w:w="0" w:type="dxa"/>
        <w:bottom w:w="0" w:type="dxa"/>
        <w:right w:w="0" w:type="dxa"/>
      </w:tblCellMar>
    </w:tblPr>
  </w:style>
  <w:style w:type="paragraph" w:customStyle="1" w:styleId="9">
    <w:name w:val="179"/>
    <w:basedOn w:val="1"/>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1921</Words>
  <Characters>1949</Characters>
  <Lines>14</Lines>
  <Paragraphs>3</Paragraphs>
  <TotalTime>2</TotalTime>
  <ScaleCrop>false</ScaleCrop>
  <LinksUpToDate>false</LinksUpToDate>
  <CharactersWithSpaces>1962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2022-07-23T05:00:00Z</dcterms:created>
  <dc:creator>Administrator</dc:creator>
  <cp:lastModifiedBy>WPS_532042187</cp:lastModifiedBy>
  <cp:lastPrinted>2022-12-12T02:52:18Z</cp:lastPrinted>
  <dcterms:modified xsi:type="dcterms:W3CDTF">2022-12-12T02:53:20Z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C5454B48587B4E2A85378A585B8F7AF7</vt:lpwstr>
  </property>
</Properties>
</file>