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微软雅黑" w:hAnsi="微软雅黑" w:eastAsia="微软雅黑" w:cs="微软雅黑"/>
          <w:b w:val="0"/>
          <w:bCs/>
          <w:i w:val="0"/>
          <w:caps w:val="0"/>
          <w:color w:val="3E3E3E"/>
          <w:spacing w:val="0"/>
          <w:sz w:val="44"/>
          <w:szCs w:val="44"/>
        </w:rPr>
      </w:pPr>
      <w:r>
        <w:rPr>
          <w:rFonts w:hint="eastAsia" w:ascii="微软雅黑" w:hAnsi="微软雅黑" w:eastAsia="微软雅黑" w:cs="微软雅黑"/>
          <w:b w:val="0"/>
          <w:bCs/>
          <w:i w:val="0"/>
          <w:caps w:val="0"/>
          <w:color w:val="3E3E3E"/>
          <w:spacing w:val="0"/>
          <w:sz w:val="44"/>
          <w:szCs w:val="44"/>
          <w:bdr w:val="none" w:color="auto" w:sz="0" w:space="0"/>
          <w:lang w:eastAsia="zh-CN"/>
        </w:rPr>
        <w:t>西华县</w:t>
      </w:r>
      <w:r>
        <w:rPr>
          <w:rFonts w:hint="eastAsia" w:ascii="微软雅黑" w:hAnsi="微软雅黑" w:eastAsia="微软雅黑" w:cs="微软雅黑"/>
          <w:b w:val="0"/>
          <w:bCs/>
          <w:i w:val="0"/>
          <w:caps w:val="0"/>
          <w:color w:val="3E3E3E"/>
          <w:spacing w:val="0"/>
          <w:sz w:val="44"/>
          <w:szCs w:val="44"/>
          <w:bdr w:val="none" w:color="auto" w:sz="0" w:space="0"/>
        </w:rPr>
        <w:t>2022年农机报废更新补贴公告</w:t>
      </w:r>
    </w:p>
    <w:p>
      <w:pPr>
        <w:rPr>
          <w:rStyle w:val="6"/>
          <w:rFonts w:hint="eastAsia" w:ascii="宋体" w:hAnsi="宋体" w:eastAsia="宋体" w:cs="宋体"/>
          <w:b w:val="0"/>
          <w:bCs/>
          <w:i w:val="0"/>
          <w:caps w:val="0"/>
          <w:color w:val="333333"/>
          <w:spacing w:val="0"/>
          <w:sz w:val="44"/>
          <w:szCs w:val="44"/>
        </w:rPr>
      </w:pPr>
      <w:r>
        <w:rPr>
          <w:rStyle w:val="6"/>
          <w:rFonts w:hint="eastAsia" w:ascii="宋体" w:hAnsi="宋体" w:eastAsia="宋体" w:cs="宋体"/>
          <w:b w:val="0"/>
          <w:bCs/>
          <w:i w:val="0"/>
          <w:caps w:val="0"/>
          <w:color w:val="333333"/>
          <w:spacing w:val="0"/>
          <w:sz w:val="44"/>
          <w:szCs w:val="44"/>
        </w:rPr>
        <w:t xml:space="preser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b w:val="0"/>
          <w:bCs/>
          <w:i w:val="0"/>
          <w:caps w:val="0"/>
          <w:color w:val="333333"/>
          <w:spacing w:val="0"/>
          <w:sz w:val="32"/>
          <w:szCs w:val="32"/>
        </w:rPr>
        <w:t>为加大耗能高、污染重、安全性能低的老旧农机淘汰力度，推动农业机械化转型升级，根据</w:t>
      </w:r>
      <w:r>
        <w:rPr>
          <w:rFonts w:hint="eastAsia" w:ascii="仿宋" w:hAnsi="仿宋" w:eastAsia="仿宋" w:cs="仿宋"/>
          <w:color w:val="000000"/>
          <w:kern w:val="0"/>
          <w:sz w:val="32"/>
          <w:szCs w:val="32"/>
          <w:lang w:val="en-US" w:eastAsia="zh-CN"/>
        </w:rPr>
        <w:t>周口市</w:t>
      </w:r>
      <w:r>
        <w:rPr>
          <w:rFonts w:hint="eastAsia" w:ascii="仿宋" w:hAnsi="仿宋" w:eastAsia="仿宋" w:cs="仿宋"/>
          <w:color w:val="000000"/>
          <w:kern w:val="0"/>
          <w:sz w:val="32"/>
          <w:szCs w:val="32"/>
        </w:rPr>
        <w:t>农业农村</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周口市</w:t>
      </w:r>
      <w:r>
        <w:rPr>
          <w:rFonts w:hint="eastAsia" w:ascii="仿宋" w:hAnsi="仿宋" w:eastAsia="仿宋" w:cs="仿宋"/>
          <w:color w:val="000000"/>
          <w:kern w:val="0"/>
          <w:sz w:val="32"/>
          <w:szCs w:val="32"/>
        </w:rPr>
        <w:t>财政</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周口市</w:t>
      </w:r>
      <w:r>
        <w:rPr>
          <w:rFonts w:hint="eastAsia" w:ascii="仿宋" w:hAnsi="仿宋" w:eastAsia="仿宋" w:cs="仿宋"/>
          <w:color w:val="000000"/>
          <w:kern w:val="0"/>
          <w:sz w:val="32"/>
          <w:szCs w:val="32"/>
        </w:rPr>
        <w:t>商务</w:t>
      </w:r>
      <w:r>
        <w:rPr>
          <w:rFonts w:hint="eastAsia" w:ascii="仿宋" w:hAnsi="仿宋" w:eastAsia="仿宋" w:cs="仿宋"/>
          <w:color w:val="000000"/>
          <w:kern w:val="0"/>
          <w:sz w:val="32"/>
          <w:szCs w:val="32"/>
          <w:lang w:val="en-US" w:eastAsia="zh-CN"/>
        </w:rPr>
        <w:t>局</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周口市</w:t>
      </w:r>
      <w:r>
        <w:rPr>
          <w:rFonts w:hint="eastAsia" w:ascii="仿宋" w:hAnsi="仿宋" w:eastAsia="仿宋" w:cs="仿宋"/>
          <w:color w:val="000000"/>
          <w:kern w:val="0"/>
          <w:sz w:val="32"/>
          <w:szCs w:val="32"/>
        </w:rPr>
        <w:t>农业机械报废更新补贴实施方案》（</w:t>
      </w:r>
      <w:r>
        <w:rPr>
          <w:rFonts w:hint="eastAsia" w:ascii="仿宋" w:hAnsi="仿宋" w:eastAsia="仿宋" w:cs="仿宋"/>
          <w:color w:val="000000"/>
          <w:kern w:val="0"/>
          <w:sz w:val="32"/>
          <w:szCs w:val="32"/>
          <w:lang w:val="en-US" w:eastAsia="zh-CN"/>
        </w:rPr>
        <w:t>周</w:t>
      </w:r>
      <w:r>
        <w:rPr>
          <w:rFonts w:hint="eastAsia" w:ascii="仿宋" w:hAnsi="仿宋" w:eastAsia="仿宋" w:cs="仿宋"/>
          <w:color w:val="000000"/>
          <w:kern w:val="0"/>
          <w:sz w:val="32"/>
          <w:szCs w:val="32"/>
        </w:rPr>
        <w:t>农</w:t>
      </w:r>
      <w:r>
        <w:rPr>
          <w:rFonts w:hint="eastAsia" w:ascii="仿宋" w:hAnsi="仿宋" w:eastAsia="仿宋" w:cs="仿宋"/>
          <w:color w:val="000000"/>
          <w:kern w:val="0"/>
          <w:sz w:val="32"/>
          <w:szCs w:val="32"/>
          <w:lang w:val="en-US" w:eastAsia="zh-CN"/>
        </w:rPr>
        <w:t>办</w:t>
      </w:r>
      <w:r>
        <w:rPr>
          <w:rFonts w:hint="eastAsia" w:ascii="仿宋" w:hAnsi="仿宋" w:eastAsia="仿宋" w:cs="仿宋"/>
          <w:color w:val="000000"/>
          <w:kern w:val="0"/>
          <w:sz w:val="32"/>
          <w:szCs w:val="32"/>
        </w:rPr>
        <w:t>〔2020〕</w:t>
      </w:r>
      <w:r>
        <w:rPr>
          <w:rFonts w:hint="eastAsia" w:ascii="仿宋" w:hAnsi="仿宋" w:eastAsia="仿宋" w:cs="仿宋"/>
          <w:color w:val="000000"/>
          <w:kern w:val="0"/>
          <w:sz w:val="32"/>
          <w:szCs w:val="32"/>
          <w:lang w:val="en-US" w:eastAsia="zh-CN"/>
        </w:rPr>
        <w:t>168</w:t>
      </w:r>
      <w:r>
        <w:rPr>
          <w:rFonts w:hint="eastAsia" w:ascii="仿宋" w:hAnsi="仿宋" w:eastAsia="仿宋" w:cs="仿宋"/>
          <w:color w:val="000000"/>
          <w:kern w:val="0"/>
          <w:sz w:val="32"/>
          <w:szCs w:val="32"/>
        </w:rPr>
        <w:t>号）</w:t>
      </w:r>
      <w:r>
        <w:rPr>
          <w:rFonts w:hint="eastAsia" w:ascii="仿宋" w:hAnsi="仿宋" w:eastAsia="仿宋" w:cs="仿宋"/>
          <w:b w:val="0"/>
          <w:bCs/>
          <w:i w:val="0"/>
          <w:caps w:val="0"/>
          <w:color w:val="333333"/>
          <w:spacing w:val="0"/>
          <w:sz w:val="32"/>
          <w:szCs w:val="32"/>
        </w:rPr>
        <w:t>文件要求，结合我县实际，现就老旧农机报废补贴事宜公告如下：</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w:t>
      </w:r>
      <w:r>
        <w:rPr>
          <w:rFonts w:hint="eastAsia" w:ascii="微软雅黑" w:hAnsi="微软雅黑" w:eastAsia="微软雅黑" w:cs="微软雅黑"/>
          <w:b w:val="0"/>
          <w:bCs/>
          <w:i w:val="0"/>
          <w:caps w:val="0"/>
          <w:color w:val="333333"/>
          <w:spacing w:val="0"/>
          <w:sz w:val="32"/>
          <w:szCs w:val="32"/>
          <w:lang w:eastAsia="zh-CN"/>
        </w:rPr>
        <w:t>一、</w:t>
      </w:r>
      <w:r>
        <w:rPr>
          <w:rFonts w:hint="eastAsia" w:ascii="微软雅黑" w:hAnsi="微软雅黑" w:eastAsia="微软雅黑" w:cs="微软雅黑"/>
          <w:color w:val="000000"/>
          <w:kern w:val="0"/>
          <w:sz w:val="32"/>
          <w:szCs w:val="32"/>
        </w:rPr>
        <w:t>实施范围和补贴对象</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农机报废更新补贴政策在全</w:t>
      </w:r>
      <w:r>
        <w:rPr>
          <w:rFonts w:hint="eastAsia" w:ascii="仿宋" w:hAnsi="仿宋" w:eastAsia="仿宋" w:cs="仿宋"/>
          <w:color w:val="000000"/>
          <w:kern w:val="0"/>
          <w:sz w:val="32"/>
          <w:szCs w:val="32"/>
          <w:lang w:val="en-US" w:eastAsia="zh-CN"/>
        </w:rPr>
        <w:t>县范围内</w:t>
      </w:r>
      <w:r>
        <w:rPr>
          <w:rFonts w:hint="eastAsia" w:ascii="仿宋" w:hAnsi="仿宋" w:eastAsia="仿宋" w:cs="仿宋"/>
          <w:color w:val="000000"/>
          <w:kern w:val="0"/>
          <w:sz w:val="32"/>
          <w:szCs w:val="32"/>
        </w:rPr>
        <w:t>实施，资金从中央财政分配我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微软雅黑" w:hAnsi="微软雅黑" w:eastAsia="微软雅黑" w:cs="微软雅黑"/>
          <w:color w:val="000000"/>
          <w:kern w:val="0"/>
          <w:sz w:val="32"/>
          <w:szCs w:val="32"/>
        </w:rPr>
      </w:pPr>
      <w:r>
        <w:rPr>
          <w:rStyle w:val="6"/>
          <w:rFonts w:hint="eastAsia" w:ascii="微软雅黑" w:hAnsi="微软雅黑" w:eastAsia="微软雅黑" w:cs="微软雅黑"/>
          <w:b w:val="0"/>
          <w:bCs/>
          <w:i w:val="0"/>
          <w:caps w:val="0"/>
          <w:color w:val="333333"/>
          <w:spacing w:val="0"/>
          <w:sz w:val="32"/>
          <w:szCs w:val="32"/>
        </w:rPr>
        <w:t>二、</w:t>
      </w:r>
      <w:r>
        <w:rPr>
          <w:rFonts w:hint="eastAsia" w:ascii="微软雅黑" w:hAnsi="微软雅黑" w:eastAsia="微软雅黑" w:cs="微软雅黑"/>
          <w:color w:val="000000"/>
          <w:kern w:val="0"/>
          <w:sz w:val="32"/>
          <w:szCs w:val="32"/>
        </w:rPr>
        <w:t>报废补贴种类及条件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（一）补贴种类。我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补贴报废农机种类为拖拉机（≥20马力）、联合收割机。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报废条件。申请报废的农机应当主要部件齐全，来源清楚合法，申请人填写申请书，不能提供发票的申请人，经村委会核实后填写承诺书；纳入牌证管理的农机需要提供监理机构核发的牌证；无牌证或未纳入牌证管理的，应当具有铭牌或出厂编号、车架号等机具身份信息。</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1、达到报废年限的。大中型拖拉机报废年限为15年、履带拖拉机报废年限为12年、自走式联合收割机报废年限为12年、悬挂式玉米联合收割机报废年限为10年；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2、使用年限或累计工作时间不足，经过检查调整或更换易损件后仍然达不到规定技术要求的；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3、由于各种原因造成严重损坏、无法修复的；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4、预计大修费用大于同类新产品50%的；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5、未达到报废年限，但技术状况差且无配件来源的；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6、国家明令淘汰的。</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w:t>
      </w:r>
      <w:r>
        <w:rPr>
          <w:rFonts w:hint="eastAsia" w:ascii="微软雅黑" w:hAnsi="微软雅黑" w:eastAsia="微软雅黑" w:cs="微软雅黑"/>
          <w:b w:val="0"/>
          <w:bCs/>
          <w:i w:val="0"/>
          <w:caps w:val="0"/>
          <w:color w:val="333333"/>
          <w:spacing w:val="0"/>
          <w:sz w:val="32"/>
          <w:szCs w:val="32"/>
          <w:lang w:val="en-US" w:eastAsia="zh-CN"/>
        </w:rPr>
        <w:t>三</w:t>
      </w:r>
      <w:r>
        <w:rPr>
          <w:rFonts w:hint="eastAsia" w:ascii="微软雅黑" w:hAnsi="微软雅黑" w:eastAsia="微软雅黑" w:cs="微软雅黑"/>
          <w:color w:val="000000"/>
          <w:kern w:val="0"/>
          <w:sz w:val="32"/>
          <w:szCs w:val="32"/>
        </w:rPr>
        <w:t>、补贴标准</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报废部分补贴实行定额补贴。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 w:hAnsi="仿宋" w:eastAsia="仿宋" w:cs="仿宋"/>
          <w:color w:val="000000"/>
          <w:kern w:val="0"/>
          <w:sz w:val="32"/>
          <w:szCs w:val="32"/>
        </w:rPr>
      </w:pPr>
      <w:r>
        <w:rPr>
          <w:rStyle w:val="6"/>
          <w:rFonts w:hint="eastAsia" w:ascii="微软雅黑" w:hAnsi="微软雅黑" w:eastAsia="微软雅黑" w:cs="微软雅黑"/>
          <w:b w:val="0"/>
          <w:bCs/>
          <w:i w:val="0"/>
          <w:caps w:val="0"/>
          <w:color w:val="333333"/>
          <w:spacing w:val="0"/>
          <w:sz w:val="32"/>
          <w:szCs w:val="32"/>
        </w:rPr>
        <w:t>四、</w:t>
      </w:r>
      <w:r>
        <w:rPr>
          <w:rFonts w:hint="eastAsia" w:ascii="微软雅黑" w:hAnsi="微软雅黑" w:eastAsia="微软雅黑" w:cs="微软雅黑"/>
          <w:color w:val="000000"/>
          <w:kern w:val="0"/>
          <w:sz w:val="32"/>
          <w:szCs w:val="32"/>
        </w:rPr>
        <w:t>操作程序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（一）报废旧机。机主自愿将</w:t>
      </w:r>
      <w:bookmarkStart w:id="0" w:name="_GoBack"/>
      <w:bookmarkEnd w:id="0"/>
      <w:r>
        <w:rPr>
          <w:rFonts w:hint="eastAsia" w:ascii="仿宋" w:hAnsi="仿宋" w:eastAsia="仿宋" w:cs="仿宋"/>
          <w:color w:val="000000"/>
          <w:kern w:val="0"/>
          <w:sz w:val="32"/>
          <w:szCs w:val="32"/>
        </w:rPr>
        <w:t>拟报废的农机交售给经公布的回收企业，报废农机残值由回收企业与机主按照公平自愿原则商定。回收企业应当核对机主和拟报废的农机信息，向机主出具《报废农业机械回收确认表》，向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级农业机械化主管部门对辖区内回收企业拆解或者销毁农机进行监督，探索远程监控回收拆解机制，督促回收企业留存好拆前、拆中、拆后照片等资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（二）注销登记。纳入牌证管理的拖拉机和联合收割机机主持《确认表》和相关证照，到</w:t>
      </w:r>
      <w:r>
        <w:rPr>
          <w:rFonts w:hint="eastAsia" w:ascii="仿宋" w:hAnsi="仿宋" w:eastAsia="仿宋" w:cs="仿宋"/>
          <w:color w:val="000000"/>
          <w:kern w:val="0"/>
          <w:sz w:val="32"/>
          <w:szCs w:val="32"/>
          <w:lang w:val="en-US" w:eastAsia="zh-CN"/>
        </w:rPr>
        <w:t>县农业机械主管部门</w:t>
      </w:r>
      <w:r>
        <w:rPr>
          <w:rFonts w:hint="eastAsia" w:ascii="仿宋" w:hAnsi="仿宋" w:eastAsia="仿宋" w:cs="仿宋"/>
          <w:color w:val="000000"/>
          <w:kern w:val="0"/>
          <w:sz w:val="32"/>
          <w:szCs w:val="32"/>
        </w:rPr>
        <w:t>依法办理牌证注销手续。</w:t>
      </w:r>
      <w:r>
        <w:rPr>
          <w:rFonts w:hint="eastAsia" w:ascii="仿宋" w:hAnsi="仿宋" w:eastAsia="仿宋" w:cs="仿宋"/>
          <w:color w:val="000000"/>
          <w:kern w:val="0"/>
          <w:sz w:val="32"/>
          <w:szCs w:val="32"/>
          <w:lang w:val="en-US" w:eastAsia="zh-CN"/>
        </w:rPr>
        <w:t>县农业机械主管部门</w:t>
      </w:r>
      <w:r>
        <w:rPr>
          <w:rFonts w:hint="eastAsia" w:ascii="仿宋" w:hAnsi="仿宋" w:eastAsia="仿宋" w:cs="仿宋"/>
          <w:color w:val="000000"/>
          <w:kern w:val="0"/>
          <w:sz w:val="32"/>
          <w:szCs w:val="32"/>
        </w:rPr>
        <w:t>核对机主和报废农机信息后，在《确认表》上签注“已办理注销登记”字样。</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三）兑现补贴。机主凭有效的《确认表》，按相关规定申请补贴。农业机械化主管部门负责对申请资料进行审核，财政部门向符合要求的机主兑现补贴资金，拖拉机、联合收割机牌证齐全并办理注销登记的优先。我</w:t>
      </w:r>
      <w:r>
        <w:rPr>
          <w:rFonts w:hint="eastAsia" w:ascii="仿宋" w:hAnsi="仿宋" w:eastAsia="仿宋" w:cs="仿宋"/>
          <w:color w:val="000000"/>
          <w:kern w:val="0"/>
          <w:sz w:val="32"/>
          <w:szCs w:val="32"/>
          <w:lang w:val="en-US" w:eastAsia="zh-CN"/>
        </w:rPr>
        <w:t>县</w:t>
      </w:r>
      <w:r>
        <w:rPr>
          <w:rFonts w:hint="eastAsia" w:ascii="仿宋" w:hAnsi="仿宋" w:eastAsia="仿宋" w:cs="仿宋"/>
          <w:color w:val="000000"/>
          <w:kern w:val="0"/>
          <w:sz w:val="32"/>
          <w:szCs w:val="32"/>
        </w:rPr>
        <w:t>每户每年度内可以申请报废一台拖拉机、一台联合收割机。农业生产经营组织每年度内可以申请报废两台拖拉机、两台联合收割机。</w:t>
      </w:r>
    </w:p>
    <w:p>
      <w:pPr>
        <w:keepNext w:val="0"/>
        <w:keepLines w:val="0"/>
        <w:pageBreakBefore w:val="0"/>
        <w:numPr>
          <w:numId w:val="0"/>
        </w:numPr>
        <w:kinsoku/>
        <w:wordWrap/>
        <w:overflowPunct/>
        <w:topLinePunct w:val="0"/>
        <w:autoSpaceDE/>
        <w:autoSpaceDN/>
        <w:bidi w:val="0"/>
        <w:adjustRightInd/>
        <w:snapToGrid/>
        <w:spacing w:line="240" w:lineRule="auto"/>
        <w:ind w:leftChars="0" w:right="0" w:rightChars="0" w:firstLine="640" w:firstLineChars="200"/>
        <w:textAlignment w:val="auto"/>
        <w:outlineLvl w:val="9"/>
        <w:rPr>
          <w:rFonts w:hint="eastAsia" w:ascii="仿宋" w:hAnsi="仿宋" w:eastAsia="仿宋" w:cs="仿宋"/>
          <w:color w:val="auto"/>
          <w:sz w:val="32"/>
          <w:szCs w:val="32"/>
        </w:rPr>
      </w:pPr>
      <w:r>
        <w:rPr>
          <w:rStyle w:val="6"/>
          <w:rFonts w:hint="eastAsia" w:ascii="微软雅黑" w:hAnsi="微软雅黑" w:eastAsia="微软雅黑" w:cs="微软雅黑"/>
          <w:b w:val="0"/>
          <w:bCs/>
          <w:i w:val="0"/>
          <w:caps w:val="0"/>
          <w:color w:val="333333"/>
          <w:spacing w:val="0"/>
          <w:sz w:val="32"/>
          <w:szCs w:val="32"/>
          <w:lang w:eastAsia="zh-CN"/>
        </w:rPr>
        <w:t>五、</w:t>
      </w:r>
      <w:r>
        <w:rPr>
          <w:rStyle w:val="6"/>
          <w:rFonts w:hint="eastAsia" w:ascii="微软雅黑" w:hAnsi="微软雅黑" w:eastAsia="微软雅黑" w:cs="微软雅黑"/>
          <w:b w:val="0"/>
          <w:bCs/>
          <w:i w:val="0"/>
          <w:caps w:val="0"/>
          <w:color w:val="333333"/>
          <w:spacing w:val="0"/>
          <w:sz w:val="32"/>
          <w:szCs w:val="32"/>
        </w:rPr>
        <w:t>回收企业</w:t>
      </w: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lang w:val="en-US" w:eastAsia="zh-CN"/>
        </w:rPr>
        <w:t xml:space="preserve">    1、</w:t>
      </w:r>
      <w:r>
        <w:rPr>
          <w:rFonts w:hint="eastAsia" w:ascii="仿宋" w:hAnsi="仿宋" w:eastAsia="仿宋" w:cs="仿宋"/>
          <w:b w:val="0"/>
          <w:i w:val="0"/>
          <w:snapToGrid/>
          <w:color w:val="auto"/>
          <w:sz w:val="32"/>
          <w:szCs w:val="32"/>
          <w:lang w:eastAsia="zh-CN"/>
        </w:rPr>
        <w:t>西华县益民农机报废回收有限公司</w:t>
      </w:r>
    </w:p>
    <w:p>
      <w:pPr>
        <w:keepNext w:val="0"/>
        <w:keepLines w:val="0"/>
        <w:pageBreakBefore w:val="0"/>
        <w:numPr>
          <w:numId w:val="0"/>
        </w:numPr>
        <w:kinsoku/>
        <w:wordWrap/>
        <w:overflowPunct/>
        <w:topLinePunct w:val="0"/>
        <w:autoSpaceDE/>
        <w:autoSpaceDN/>
        <w:bidi w:val="0"/>
        <w:adjustRightInd/>
        <w:snapToGrid/>
        <w:spacing w:line="240" w:lineRule="auto"/>
        <w:ind w:left="638" w:leftChars="304" w:right="0" w:rightChars="0" w:firstLine="0" w:firstLineChars="0"/>
        <w:textAlignment w:val="auto"/>
        <w:outlineLvl w:val="9"/>
        <w:rPr>
          <w:rFonts w:hint="eastAsia" w:ascii="仿宋" w:hAnsi="仿宋" w:eastAsia="仿宋" w:cs="仿宋"/>
          <w:color w:val="auto"/>
          <w:sz w:val="32"/>
          <w:szCs w:val="32"/>
        </w:rPr>
      </w:pPr>
      <w:r>
        <w:rPr>
          <w:rFonts w:hint="eastAsia" w:ascii="仿宋" w:hAnsi="仿宋" w:eastAsia="仿宋" w:cs="仿宋"/>
          <w:b w:val="0"/>
          <w:i w:val="0"/>
          <w:snapToGrid/>
          <w:color w:val="auto"/>
          <w:sz w:val="32"/>
          <w:szCs w:val="32"/>
          <w:lang w:eastAsia="zh-CN"/>
        </w:rPr>
        <w:t>地址：河南省周口市西华县逍遥镇白十村北</w:t>
      </w:r>
      <w:r>
        <w:rPr>
          <w:rFonts w:hint="eastAsia" w:ascii="仿宋" w:hAnsi="仿宋" w:eastAsia="仿宋" w:cs="仿宋"/>
          <w:b w:val="0"/>
          <w:i w:val="0"/>
          <w:snapToGrid/>
          <w:color w:val="auto"/>
          <w:sz w:val="32"/>
          <w:szCs w:val="32"/>
          <w:lang w:val="en-US" w:eastAsia="zh-CN"/>
        </w:rPr>
        <w:t>008</w:t>
      </w:r>
      <w:r>
        <w:rPr>
          <w:rFonts w:hint="eastAsia" w:ascii="仿宋" w:hAnsi="仿宋" w:eastAsia="仿宋" w:cs="仿宋"/>
          <w:b w:val="0"/>
          <w:i w:val="0"/>
          <w:snapToGrid/>
          <w:color w:val="auto"/>
          <w:sz w:val="32"/>
          <w:szCs w:val="32"/>
          <w:lang w:eastAsia="zh-CN"/>
        </w:rPr>
        <w:t>号</w:t>
      </w:r>
      <w:r>
        <w:rPr>
          <w:rFonts w:hint="eastAsia" w:ascii="仿宋" w:hAnsi="仿宋" w:eastAsia="仿宋" w:cs="仿宋"/>
          <w:color w:val="auto"/>
          <w:sz w:val="32"/>
          <w:szCs w:val="32"/>
        </w:rPr>
        <w:br w:type="textWrapping"/>
      </w:r>
      <w:r>
        <w:rPr>
          <w:rFonts w:hint="eastAsia" w:ascii="仿宋" w:hAnsi="仿宋" w:eastAsia="仿宋" w:cs="仿宋"/>
          <w:b w:val="0"/>
          <w:i w:val="0"/>
          <w:snapToGrid/>
          <w:color w:val="auto"/>
          <w:sz w:val="32"/>
          <w:szCs w:val="32"/>
          <w:lang w:eastAsia="zh-CN"/>
        </w:rPr>
        <w:t>统一社会信用代码：91411</w:t>
      </w:r>
      <w:r>
        <w:rPr>
          <w:rFonts w:hint="eastAsia" w:ascii="仿宋" w:hAnsi="仿宋" w:eastAsia="仿宋" w:cs="仿宋"/>
          <w:b w:val="0"/>
          <w:i w:val="0"/>
          <w:snapToGrid/>
          <w:color w:val="auto"/>
          <w:sz w:val="32"/>
          <w:szCs w:val="32"/>
          <w:lang w:val="en-US" w:eastAsia="zh-CN"/>
        </w:rPr>
        <w:t>6</w:t>
      </w:r>
      <w:r>
        <w:rPr>
          <w:rFonts w:hint="eastAsia" w:ascii="仿宋" w:hAnsi="仿宋" w:eastAsia="仿宋" w:cs="仿宋"/>
          <w:b w:val="0"/>
          <w:i w:val="0"/>
          <w:snapToGrid/>
          <w:color w:val="auto"/>
          <w:sz w:val="32"/>
          <w:szCs w:val="32"/>
          <w:lang w:eastAsia="zh-CN"/>
        </w:rPr>
        <w:t>22MA9</w:t>
      </w:r>
      <w:r>
        <w:rPr>
          <w:rFonts w:hint="eastAsia" w:ascii="仿宋" w:hAnsi="仿宋" w:eastAsia="仿宋" w:cs="仿宋"/>
          <w:b w:val="0"/>
          <w:i w:val="0"/>
          <w:snapToGrid/>
          <w:color w:val="auto"/>
          <w:sz w:val="32"/>
          <w:szCs w:val="32"/>
          <w:lang w:val="en-US" w:eastAsia="zh-CN"/>
        </w:rPr>
        <w:t>GRK</w:t>
      </w:r>
      <w:r>
        <w:rPr>
          <w:rFonts w:hint="eastAsia" w:ascii="仿宋" w:hAnsi="仿宋" w:eastAsia="仿宋" w:cs="仿宋"/>
          <w:b w:val="0"/>
          <w:i w:val="0"/>
          <w:snapToGrid/>
          <w:color w:val="auto"/>
          <w:sz w:val="32"/>
          <w:szCs w:val="32"/>
          <w:lang w:eastAsia="zh-CN"/>
        </w:rPr>
        <w:t>FF</w:t>
      </w:r>
      <w:r>
        <w:rPr>
          <w:rFonts w:hint="eastAsia" w:ascii="仿宋" w:hAnsi="仿宋" w:eastAsia="仿宋" w:cs="仿宋"/>
          <w:b w:val="0"/>
          <w:i w:val="0"/>
          <w:snapToGrid/>
          <w:color w:val="auto"/>
          <w:sz w:val="32"/>
          <w:szCs w:val="32"/>
          <w:lang w:val="en-US" w:eastAsia="zh-CN"/>
        </w:rPr>
        <w:t>86</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lang w:eastAsia="zh-CN"/>
        </w:rPr>
        <w:t>联系</w:t>
      </w:r>
      <w:r>
        <w:rPr>
          <w:rFonts w:hint="eastAsia" w:ascii="仿宋" w:hAnsi="仿宋" w:eastAsia="仿宋" w:cs="仿宋"/>
          <w:b w:val="0"/>
          <w:i w:val="0"/>
          <w:snapToGrid/>
          <w:color w:val="auto"/>
          <w:sz w:val="32"/>
          <w:szCs w:val="32"/>
          <w:lang w:eastAsia="zh-CN"/>
        </w:rPr>
        <w:t>电话：</w:t>
      </w:r>
      <w:r>
        <w:rPr>
          <w:rFonts w:hint="eastAsia" w:ascii="仿宋" w:hAnsi="仿宋" w:eastAsia="仿宋" w:cs="仿宋"/>
          <w:color w:val="auto"/>
          <w:sz w:val="32"/>
          <w:szCs w:val="32"/>
        </w:rPr>
        <w:t>15839439737</w:t>
      </w:r>
    </w:p>
    <w:p>
      <w:pPr>
        <w:keepNext w:val="0"/>
        <w:keepLines w:val="0"/>
        <w:pageBreakBefore w:val="0"/>
        <w:numPr>
          <w:numId w:val="0"/>
        </w:numPr>
        <w:kinsoku/>
        <w:wordWrap/>
        <w:overflowPunct/>
        <w:topLinePunct w:val="0"/>
        <w:autoSpaceDE/>
        <w:autoSpaceDN/>
        <w:bidi w:val="0"/>
        <w:adjustRightInd/>
        <w:snapToGrid/>
        <w:spacing w:line="240" w:lineRule="auto"/>
        <w:ind w:left="638" w:leftChars="304" w:right="0" w:rightChars="0" w:firstLine="0" w:firstLineChars="0"/>
        <w:textAlignment w:val="auto"/>
        <w:outlineLvl w:val="9"/>
        <w:rPr>
          <w:rFonts w:hint="eastAsia" w:ascii="仿宋" w:hAnsi="仿宋" w:eastAsia="仿宋" w:cs="仿宋"/>
          <w:b w:val="0"/>
          <w:i w:val="0"/>
          <w:snapToGrid/>
          <w:color w:val="auto"/>
          <w:sz w:val="32"/>
          <w:szCs w:val="32"/>
          <w:lang w:val="en-US" w:eastAsia="zh-CN"/>
        </w:rPr>
      </w:pPr>
      <w:r>
        <w:rPr>
          <w:rFonts w:hint="eastAsia" w:ascii="仿宋" w:hAnsi="仿宋" w:eastAsia="仿宋" w:cs="仿宋"/>
          <w:b w:val="0"/>
          <w:i w:val="0"/>
          <w:snapToGrid/>
          <w:color w:val="auto"/>
          <w:sz w:val="32"/>
          <w:szCs w:val="32"/>
          <w:lang w:val="en-US" w:eastAsia="zh-CN"/>
        </w:rPr>
        <w:t>2、</w:t>
      </w:r>
      <w:r>
        <w:rPr>
          <w:rFonts w:hint="eastAsia" w:ascii="仿宋" w:hAnsi="仿宋" w:eastAsia="仿宋" w:cs="仿宋"/>
          <w:b w:val="0"/>
          <w:i w:val="0"/>
          <w:snapToGrid/>
          <w:color w:val="auto"/>
          <w:sz w:val="32"/>
          <w:szCs w:val="32"/>
          <w:lang w:eastAsia="zh-CN"/>
        </w:rPr>
        <w:t>西华县张艳梅农机报废回收有限公司</w:t>
      </w:r>
      <w:r>
        <w:rPr>
          <w:rFonts w:hint="eastAsia" w:ascii="仿宋" w:hAnsi="仿宋" w:eastAsia="仿宋" w:cs="仿宋"/>
          <w:color w:val="auto"/>
          <w:sz w:val="32"/>
          <w:szCs w:val="32"/>
        </w:rPr>
        <w:br w:type="textWrapping"/>
      </w:r>
      <w:r>
        <w:rPr>
          <w:rFonts w:hint="eastAsia" w:ascii="仿宋" w:hAnsi="仿宋" w:eastAsia="仿宋" w:cs="仿宋"/>
          <w:b w:val="0"/>
          <w:i w:val="0"/>
          <w:snapToGrid/>
          <w:color w:val="auto"/>
          <w:sz w:val="32"/>
          <w:szCs w:val="32"/>
          <w:lang w:eastAsia="zh-CN"/>
        </w:rPr>
        <w:t>地址：河南省周口市西华县东夏亭镇北街向西</w:t>
      </w:r>
      <w:r>
        <w:rPr>
          <w:rFonts w:hint="eastAsia" w:ascii="仿宋" w:hAnsi="仿宋" w:eastAsia="仿宋" w:cs="仿宋"/>
          <w:b w:val="0"/>
          <w:i w:val="0"/>
          <w:snapToGrid/>
          <w:color w:val="auto"/>
          <w:sz w:val="32"/>
          <w:szCs w:val="32"/>
          <w:lang w:val="en-US" w:eastAsia="zh-CN"/>
        </w:rPr>
        <w:t>100米供</w:t>
      </w:r>
    </w:p>
    <w:p>
      <w:pPr>
        <w:keepNext w:val="0"/>
        <w:keepLines w:val="0"/>
        <w:pageBreakBefore w:val="0"/>
        <w:numPr>
          <w:numId w:val="0"/>
        </w:numPr>
        <w:kinsoku/>
        <w:wordWrap/>
        <w:overflowPunct/>
        <w:topLinePunct w:val="0"/>
        <w:autoSpaceDE/>
        <w:autoSpaceDN/>
        <w:bidi w:val="0"/>
        <w:adjustRightInd/>
        <w:snapToGrid/>
        <w:spacing w:line="240" w:lineRule="auto"/>
        <w:ind w:left="640" w:leftChars="0" w:right="0" w:rightChars="0" w:hanging="640" w:hangingChars="200"/>
        <w:textAlignment w:val="auto"/>
        <w:outlineLvl w:val="9"/>
        <w:rPr>
          <w:rFonts w:hint="eastAsia" w:ascii="仿宋" w:hAnsi="仿宋" w:eastAsia="仿宋" w:cs="仿宋"/>
          <w:color w:val="auto"/>
          <w:sz w:val="32"/>
          <w:szCs w:val="32"/>
        </w:rPr>
      </w:pPr>
      <w:r>
        <w:rPr>
          <w:rFonts w:hint="eastAsia" w:ascii="仿宋" w:hAnsi="仿宋" w:eastAsia="仿宋" w:cs="仿宋"/>
          <w:b w:val="0"/>
          <w:i w:val="0"/>
          <w:snapToGrid/>
          <w:color w:val="auto"/>
          <w:sz w:val="32"/>
          <w:szCs w:val="32"/>
          <w:lang w:val="en-US" w:eastAsia="zh-CN"/>
        </w:rPr>
        <w:t>销社院内</w:t>
      </w:r>
      <w:r>
        <w:rPr>
          <w:rFonts w:hint="eastAsia" w:ascii="仿宋" w:hAnsi="仿宋" w:eastAsia="仿宋" w:cs="仿宋"/>
          <w:color w:val="auto"/>
          <w:sz w:val="32"/>
          <w:szCs w:val="32"/>
        </w:rPr>
        <w:br w:type="textWrapping"/>
      </w:r>
      <w:r>
        <w:rPr>
          <w:rFonts w:hint="eastAsia" w:ascii="仿宋" w:hAnsi="仿宋" w:eastAsia="仿宋" w:cs="仿宋"/>
          <w:b w:val="0"/>
          <w:i w:val="0"/>
          <w:snapToGrid/>
          <w:color w:val="auto"/>
          <w:sz w:val="32"/>
          <w:szCs w:val="32"/>
          <w:lang w:eastAsia="zh-CN"/>
        </w:rPr>
        <w:t>统一社会信用代码：91411</w:t>
      </w:r>
      <w:r>
        <w:rPr>
          <w:rFonts w:hint="eastAsia" w:ascii="仿宋" w:hAnsi="仿宋" w:eastAsia="仿宋" w:cs="仿宋"/>
          <w:b w:val="0"/>
          <w:i w:val="0"/>
          <w:snapToGrid/>
          <w:color w:val="auto"/>
          <w:sz w:val="32"/>
          <w:szCs w:val="32"/>
          <w:lang w:val="en-US" w:eastAsia="zh-CN"/>
        </w:rPr>
        <w:t>6</w:t>
      </w:r>
      <w:r>
        <w:rPr>
          <w:rFonts w:hint="eastAsia" w:ascii="仿宋" w:hAnsi="仿宋" w:eastAsia="仿宋" w:cs="仿宋"/>
          <w:b w:val="0"/>
          <w:i w:val="0"/>
          <w:snapToGrid/>
          <w:color w:val="auto"/>
          <w:sz w:val="32"/>
          <w:szCs w:val="32"/>
          <w:lang w:eastAsia="zh-CN"/>
        </w:rPr>
        <w:t>22MA9</w:t>
      </w:r>
      <w:r>
        <w:rPr>
          <w:rFonts w:hint="eastAsia" w:ascii="仿宋" w:hAnsi="仿宋" w:eastAsia="仿宋" w:cs="仿宋"/>
          <w:b w:val="0"/>
          <w:i w:val="0"/>
          <w:snapToGrid/>
          <w:color w:val="auto"/>
          <w:sz w:val="32"/>
          <w:szCs w:val="32"/>
          <w:lang w:val="en-US" w:eastAsia="zh-CN"/>
        </w:rPr>
        <w:t>KJ7223A</w:t>
      </w:r>
      <w:r>
        <w:rPr>
          <w:rFonts w:hint="eastAsia" w:ascii="仿宋" w:hAnsi="仿宋" w:eastAsia="仿宋" w:cs="仿宋"/>
          <w:color w:val="auto"/>
          <w:sz w:val="32"/>
          <w:szCs w:val="32"/>
        </w:rPr>
        <w:br w:type="textWrapping"/>
      </w:r>
      <w:r>
        <w:rPr>
          <w:rFonts w:hint="eastAsia" w:ascii="仿宋" w:hAnsi="仿宋" w:eastAsia="仿宋" w:cs="仿宋"/>
          <w:color w:val="auto"/>
          <w:sz w:val="32"/>
          <w:szCs w:val="32"/>
          <w:lang w:eastAsia="zh-CN"/>
        </w:rPr>
        <w:t>联系</w:t>
      </w:r>
      <w:r>
        <w:rPr>
          <w:rFonts w:hint="eastAsia" w:ascii="仿宋" w:hAnsi="仿宋" w:eastAsia="仿宋" w:cs="仿宋"/>
          <w:b w:val="0"/>
          <w:i w:val="0"/>
          <w:snapToGrid/>
          <w:color w:val="auto"/>
          <w:sz w:val="32"/>
          <w:szCs w:val="32"/>
          <w:lang w:eastAsia="zh-CN"/>
        </w:rPr>
        <w:t>电话：</w:t>
      </w:r>
      <w:r>
        <w:rPr>
          <w:rFonts w:hint="eastAsia" w:ascii="仿宋" w:hAnsi="仿宋" w:eastAsia="仿宋" w:cs="仿宋"/>
          <w:color w:val="auto"/>
          <w:sz w:val="32"/>
          <w:szCs w:val="32"/>
          <w:lang w:val="en-US" w:eastAsia="zh-CN"/>
        </w:rPr>
        <w:t>13839491385</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b w:val="0"/>
          <w:bCs/>
          <w:i w:val="0"/>
          <w:caps w:val="0"/>
          <w:color w:val="333333"/>
          <w:spacing w:val="0"/>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b w:val="0"/>
          <w:bCs/>
          <w:i w:val="0"/>
          <w:caps w:val="0"/>
          <w:color w:val="333333"/>
          <w:spacing w:val="0"/>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color w:val="auto"/>
          <w:sz w:val="32"/>
          <w:szCs w:val="32"/>
          <w:lang w:eastAsia="zh-CN"/>
        </w:rPr>
      </w:pPr>
      <w:r>
        <w:rPr>
          <w:rFonts w:hint="eastAsia" w:ascii="仿宋" w:hAnsi="仿宋" w:eastAsia="仿宋" w:cs="仿宋"/>
          <w:b w:val="0"/>
          <w:bCs/>
          <w:i w:val="0"/>
          <w:caps w:val="0"/>
          <w:color w:val="333333"/>
          <w:spacing w:val="0"/>
          <w:sz w:val="32"/>
          <w:szCs w:val="32"/>
        </w:rPr>
        <w:br w:type="textWrapping"/>
      </w:r>
      <w:r>
        <w:rPr>
          <w:rFonts w:hint="eastAsia" w:ascii="仿宋" w:hAnsi="仿宋" w:eastAsia="仿宋" w:cs="仿宋"/>
          <w:b w:val="0"/>
          <w:bCs/>
          <w:i w:val="0"/>
          <w:caps w:val="0"/>
          <w:color w:val="333333"/>
          <w:spacing w:val="0"/>
          <w:sz w:val="32"/>
          <w:szCs w:val="32"/>
        </w:rPr>
        <w:t xml:space="preserve">                                </w:t>
      </w:r>
      <w:r>
        <w:rPr>
          <w:rFonts w:hint="eastAsia" w:ascii="仿宋" w:hAnsi="仿宋" w:eastAsia="仿宋" w:cs="仿宋"/>
          <w:color w:val="auto"/>
          <w:sz w:val="32"/>
          <w:szCs w:val="32"/>
          <w:lang w:eastAsia="zh-CN"/>
        </w:rPr>
        <w:t>西华县农业机械技术中心</w:t>
      </w:r>
    </w:p>
    <w:p>
      <w:pPr>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2022年4月1日</w:t>
      </w:r>
    </w:p>
    <w:p>
      <w:pPr>
        <w:ind w:firstLine="420" w:firstLineChars="200"/>
        <w:rPr>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Raavi">
    <w:panose1 w:val="020B0502040204020203"/>
    <w:charset w:val="00"/>
    <w:family w:val="auto"/>
    <w:pitch w:val="default"/>
    <w:sig w:usb0="00020003" w:usb1="00000000" w:usb2="00000000" w:usb3="00000000" w:csb0="00000001" w:csb1="00000000"/>
  </w:font>
  <w:font w:name="Segoe UI Light">
    <w:panose1 w:val="020B0502040204020203"/>
    <w:charset w:val="00"/>
    <w:family w:val="auto"/>
    <w:pitch w:val="default"/>
    <w:sig w:usb0="E00002FF" w:usb1="4000A47B" w:usb2="00000001" w:usb3="00000000" w:csb0="2000019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A1306F"/>
    <w:rsid w:val="073307BE"/>
    <w:rsid w:val="262604D1"/>
    <w:rsid w:val="5BA467A0"/>
    <w:rsid w:val="6DA1306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2022-07-20T08:33:00Z</dcterms:created>
  <dc:creator>Administrator</dc:creator>
  <cp:lastModifiedBy>Administrator</cp:lastModifiedBy>
  <cp:lastPrinted>2022-07-25T09:08:18Z</cp:lastPrinted>
  <dcterms:modified xsi:type="dcterms:W3CDTF">2022-07-27T09:24:17Z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