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both"/>
        <w:rPr>
          <w:rStyle w:val="11"/>
          <w:rFonts w:hint="eastAsia" w:ascii="FangSong_GB2312" w:hAnsi="FangSong_GB2312" w:eastAsia="FangSong_GB2312" w:cs="FangSong_GB2312"/>
          <w:color w:val="000000"/>
          <w:sz w:val="32"/>
          <w:szCs w:val="32"/>
          <w:lang w:eastAsia="zh-CN"/>
        </w:rPr>
      </w:pPr>
    </w:p>
    <w:p>
      <w:pPr>
        <w:spacing w:line="600" w:lineRule="exact"/>
        <w:jc w:val="both"/>
        <w:rPr>
          <w:rStyle w:val="11"/>
          <w:rFonts w:hint="eastAsia" w:ascii="FangSong_GB2312" w:hAnsi="FangSong_GB2312" w:eastAsia="FangSong_GB2312" w:cs="FangSong_GB2312"/>
          <w:color w:val="000000"/>
          <w:sz w:val="32"/>
          <w:szCs w:val="32"/>
          <w:lang w:eastAsia="zh-CN"/>
        </w:rPr>
      </w:pPr>
    </w:p>
    <w:p>
      <w:pPr>
        <w:spacing w:line="600" w:lineRule="exact"/>
        <w:jc w:val="both"/>
        <w:rPr>
          <w:rStyle w:val="11"/>
          <w:rFonts w:hint="eastAsia" w:ascii="FangSong_GB2312" w:hAnsi="FangSong_GB2312" w:eastAsia="FangSong_GB2312" w:cs="FangSong_GB2312"/>
          <w:color w:val="000000"/>
          <w:sz w:val="32"/>
          <w:szCs w:val="32"/>
          <w:lang w:eastAsia="zh-CN"/>
        </w:rPr>
      </w:pPr>
    </w:p>
    <w:p>
      <w:pPr>
        <w:spacing w:line="600" w:lineRule="exact"/>
        <w:jc w:val="both"/>
        <w:rPr>
          <w:rStyle w:val="11"/>
          <w:rFonts w:hint="eastAsia" w:ascii="FangSong_GB2312" w:hAnsi="FangSong_GB2312" w:eastAsia="FangSong_GB2312" w:cs="FangSong_GB2312"/>
          <w:color w:val="000000"/>
          <w:sz w:val="32"/>
          <w:szCs w:val="32"/>
          <w:lang w:eastAsia="zh-CN"/>
        </w:rPr>
      </w:pPr>
    </w:p>
    <w:p>
      <w:pPr>
        <w:spacing w:line="600" w:lineRule="exact"/>
        <w:jc w:val="both"/>
        <w:rPr>
          <w:rStyle w:val="11"/>
          <w:rFonts w:hint="eastAsia" w:ascii="FangSong_GB2312" w:hAnsi="FangSong_GB2312" w:eastAsia="FangSong_GB2312" w:cs="FangSong_GB2312"/>
          <w:color w:val="000000"/>
          <w:sz w:val="10"/>
          <w:szCs w:val="10"/>
          <w:lang w:eastAsia="zh-CN"/>
        </w:rPr>
      </w:pPr>
    </w:p>
    <w:p>
      <w:pPr>
        <w:spacing w:line="600" w:lineRule="exact"/>
        <w:jc w:val="both"/>
        <w:rPr>
          <w:rStyle w:val="11"/>
          <w:rFonts w:hint="eastAsia" w:ascii="FangSong_GB2312" w:hAnsi="FangSong_GB2312" w:eastAsia="FangSong_GB2312" w:cs="FangSong_GB2312"/>
          <w:color w:val="000000"/>
          <w:sz w:val="10"/>
          <w:szCs w:val="10"/>
          <w:lang w:eastAsia="zh-CN"/>
        </w:rPr>
      </w:pPr>
    </w:p>
    <w:p>
      <w:pPr>
        <w:spacing w:line="600" w:lineRule="exact"/>
        <w:jc w:val="both"/>
        <w:rPr>
          <w:rStyle w:val="11"/>
          <w:rFonts w:hint="eastAsia" w:ascii="FangSong_GB2312" w:hAnsi="FangSong_GB2312" w:eastAsia="FangSong_GB2312" w:cs="FangSong_GB2312"/>
          <w:color w:val="000000"/>
          <w:sz w:val="10"/>
          <w:szCs w:val="10"/>
          <w:lang w:eastAsia="zh-CN"/>
        </w:rPr>
      </w:pPr>
    </w:p>
    <w:p>
      <w:pPr>
        <w:spacing w:line="600" w:lineRule="exact"/>
        <w:jc w:val="both"/>
        <w:rPr>
          <w:rStyle w:val="11"/>
          <w:rFonts w:hint="eastAsia" w:ascii="FangSong_GB2312" w:hAnsi="FangSong_GB2312" w:eastAsia="FangSong_GB2312" w:cs="FangSong_GB2312"/>
          <w:color w:val="000000"/>
          <w:sz w:val="10"/>
          <w:szCs w:val="10"/>
          <w:lang w:eastAsia="zh-CN"/>
        </w:rPr>
      </w:pPr>
    </w:p>
    <w:p>
      <w:pPr>
        <w:spacing w:line="600" w:lineRule="exact"/>
        <w:jc w:val="center"/>
        <w:rPr>
          <w:rFonts w:hint="eastAsia" w:ascii="宋体" w:hAnsi="宋体" w:eastAsia="宋体" w:cs="宋体"/>
          <w:sz w:val="32"/>
          <w:szCs w:val="32"/>
        </w:rPr>
      </w:pPr>
      <w:r>
        <w:rPr>
          <w:rStyle w:val="11"/>
          <w:rFonts w:hint="eastAsia" w:ascii="宋体" w:hAnsi="宋体" w:eastAsia="宋体" w:cs="宋体"/>
          <w:color w:val="000000"/>
          <w:sz w:val="32"/>
          <w:szCs w:val="32"/>
          <w:lang w:eastAsia="zh-CN"/>
        </w:rPr>
        <w:t>民</w:t>
      </w:r>
      <w:r>
        <w:rPr>
          <w:rStyle w:val="11"/>
          <w:rFonts w:hint="eastAsia" w:ascii="宋体" w:hAnsi="宋体" w:eastAsia="宋体" w:cs="宋体"/>
          <w:color w:val="000000"/>
          <w:sz w:val="32"/>
          <w:szCs w:val="32"/>
        </w:rPr>
        <w:t>农机〔202</w:t>
      </w:r>
      <w:r>
        <w:rPr>
          <w:rStyle w:val="11"/>
          <w:rFonts w:hint="eastAsia" w:ascii="宋体" w:hAnsi="宋体" w:cs="宋体"/>
          <w:color w:val="000000"/>
          <w:sz w:val="32"/>
          <w:szCs w:val="32"/>
          <w:lang w:val="en-US" w:eastAsia="zh-CN"/>
        </w:rPr>
        <w:t>2</w:t>
      </w:r>
      <w:r>
        <w:rPr>
          <w:rStyle w:val="11"/>
          <w:rFonts w:hint="eastAsia" w:ascii="宋体" w:hAnsi="宋体" w:eastAsia="宋体" w:cs="宋体"/>
          <w:color w:val="000000"/>
          <w:sz w:val="32"/>
          <w:szCs w:val="32"/>
        </w:rPr>
        <w:t>〕</w:t>
      </w:r>
      <w:r>
        <w:rPr>
          <w:rStyle w:val="11"/>
          <w:rFonts w:hint="eastAsia" w:ascii="宋体" w:hAnsi="宋体" w:cs="宋体"/>
          <w:color w:val="000000"/>
          <w:sz w:val="32"/>
          <w:szCs w:val="32"/>
          <w:lang w:val="en-US" w:eastAsia="zh-CN"/>
        </w:rPr>
        <w:t>4</w:t>
      </w:r>
      <w:r>
        <w:rPr>
          <w:rStyle w:val="11"/>
          <w:rFonts w:hint="eastAsia" w:ascii="宋体" w:hAnsi="宋体" w:eastAsia="宋体" w:cs="宋体"/>
          <w:color w:val="000000"/>
          <w:sz w:val="32"/>
          <w:szCs w:val="32"/>
        </w:rPr>
        <w:t>号</w:t>
      </w:r>
    </w:p>
    <w:p>
      <w:pPr>
        <w:spacing w:line="360" w:lineRule="auto"/>
        <w:rPr>
          <w:rFonts w:hint="eastAsia" w:ascii="方正小标宋简体" w:hAnsi="方正小标宋简体" w:eastAsia="方正小标宋简体" w:cs="方正小标宋简体"/>
          <w:b w:val="0"/>
          <w:bCs w:val="0"/>
          <w:color w:val="000000"/>
          <w:sz w:val="10"/>
          <w:szCs w:val="10"/>
          <w:lang w:val="en-US" w:eastAsia="zh-CN"/>
        </w:rPr>
      </w:pPr>
    </w:p>
    <w:p>
      <w:pPr>
        <w:ind w:left="440" w:hanging="440" w:hangingChars="100"/>
        <w:jc w:val="center"/>
        <w:rPr>
          <w:rFonts w:hint="eastAsia" w:ascii="方正小标宋简体" w:hAnsi="方正小标宋简体" w:eastAsia="方正小标宋简体" w:cs="方正小标宋简体"/>
          <w:sz w:val="44"/>
          <w:szCs w:val="44"/>
          <w:u w:val="none"/>
          <w:lang w:val="en-US" w:eastAsia="zh-CN"/>
        </w:rPr>
      </w:pPr>
      <w:r>
        <w:rPr>
          <w:rFonts w:hint="eastAsia" w:ascii="方正小标宋简体" w:hAnsi="方正小标宋简体" w:eastAsia="方正小标宋简体" w:cs="方正小标宋简体"/>
          <w:sz w:val="44"/>
          <w:szCs w:val="44"/>
          <w:u w:val="none"/>
          <w:lang w:eastAsia="zh-CN"/>
        </w:rPr>
        <w:t>民权县</w:t>
      </w:r>
      <w:r>
        <w:rPr>
          <w:rFonts w:hint="eastAsia" w:ascii="方正小标宋简体" w:hAnsi="方正小标宋简体" w:eastAsia="方正小标宋简体" w:cs="方正小标宋简体"/>
          <w:sz w:val="44"/>
          <w:szCs w:val="44"/>
          <w:u w:val="none"/>
          <w:lang w:val="en-US" w:eastAsia="zh-CN"/>
        </w:rPr>
        <w:t>2</w:t>
      </w:r>
      <w:bookmarkStart w:id="0" w:name="_GoBack"/>
      <w:bookmarkEnd w:id="0"/>
      <w:r>
        <w:rPr>
          <w:rFonts w:hint="eastAsia" w:ascii="方正小标宋简体" w:hAnsi="方正小标宋简体" w:eastAsia="方正小标宋简体" w:cs="方正小标宋简体"/>
          <w:sz w:val="44"/>
          <w:szCs w:val="44"/>
          <w:u w:val="none"/>
          <w:lang w:val="en-US" w:eastAsia="zh-CN"/>
        </w:rPr>
        <w:t>022年农业机械购置补贴实施方案</w:t>
      </w:r>
    </w:p>
    <w:p>
      <w:pPr>
        <w:rPr>
          <w:rFonts w:hint="eastAsia" w:ascii="方正小标宋简体" w:hAnsi="方正小标宋简体" w:eastAsia="方正小标宋简体" w:cs="方正小标宋简体"/>
          <w:sz w:val="15"/>
          <w:szCs w:val="15"/>
          <w:u w:val="none"/>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为更好满足农民群众农业生产购机需求，提高农业生产机械化水平，</w:t>
      </w:r>
      <w:r>
        <w:rPr>
          <w:rFonts w:hint="eastAsia" w:ascii="仿宋" w:hAnsi="仿宋" w:eastAsia="仿宋" w:cs="仿宋"/>
          <w:sz w:val="32"/>
          <w:szCs w:val="32"/>
          <w:lang w:eastAsia="zh-CN"/>
        </w:rPr>
        <w:t>按照</w:t>
      </w:r>
      <w:r>
        <w:rPr>
          <w:rFonts w:hint="eastAsia" w:ascii="仿宋" w:hAnsi="仿宋" w:eastAsia="仿宋" w:cs="仿宋"/>
          <w:sz w:val="32"/>
          <w:szCs w:val="32"/>
        </w:rPr>
        <w:t>农业农村部办公厅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财政部办公厅《2021—2023 年农机购置补贴实施指导意见》(农办计财〔2021〕8号)和</w:t>
      </w:r>
      <w:r>
        <w:rPr>
          <w:rFonts w:hint="eastAsia" w:ascii="仿宋" w:hAnsi="仿宋" w:eastAsia="仿宋" w:cs="仿宋"/>
          <w:sz w:val="32"/>
          <w:szCs w:val="32"/>
          <w:lang w:eastAsia="zh-CN"/>
        </w:rPr>
        <w:t>河南省农业农村厅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lang w:eastAsia="zh-CN"/>
        </w:rPr>
        <w:t>河南省财政厅关于印发</w:t>
      </w:r>
      <w:r>
        <w:rPr>
          <w:rFonts w:hint="eastAsia" w:ascii="仿宋" w:hAnsi="仿宋" w:eastAsia="仿宋" w:cs="仿宋"/>
          <w:sz w:val="32"/>
          <w:szCs w:val="32"/>
        </w:rPr>
        <w:t>《河南省2021—2023年农机购置补贴实施指导意见》（豫农文〔2021〕185号）要求，结合我县实际，制定</w:t>
      </w:r>
      <w:r>
        <w:rPr>
          <w:rFonts w:hint="eastAsia" w:ascii="仿宋" w:hAnsi="仿宋" w:eastAsia="仿宋" w:cs="仿宋"/>
          <w:sz w:val="32"/>
          <w:szCs w:val="32"/>
          <w:lang w:eastAsia="zh-CN"/>
        </w:rPr>
        <w:t>实施</w:t>
      </w:r>
      <w:r>
        <w:rPr>
          <w:rFonts w:hint="eastAsia" w:ascii="仿宋" w:hAnsi="仿宋" w:eastAsia="仿宋" w:cs="仿宋"/>
          <w:sz w:val="32"/>
          <w:szCs w:val="32"/>
        </w:rPr>
        <w:t>方案</w:t>
      </w:r>
      <w:r>
        <w:rPr>
          <w:rFonts w:hint="eastAsia" w:ascii="仿宋" w:hAnsi="仿宋" w:eastAsia="仿宋" w:cs="仿宋"/>
          <w:sz w:val="32"/>
          <w:szCs w:val="32"/>
          <w:lang w:eastAsia="zh-CN"/>
        </w:rPr>
        <w:t>如下</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实施原则</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坚持以习近平新时代中国特色社会主义思想为指导，</w:t>
      </w:r>
      <w:r>
        <w:rPr>
          <w:rFonts w:hint="eastAsia" w:ascii="仿宋" w:hAnsi="仿宋" w:eastAsia="仿宋" w:cs="仿宋"/>
          <w:sz w:val="32"/>
          <w:szCs w:val="32"/>
          <w:lang w:eastAsia="zh-CN"/>
        </w:rPr>
        <w:t>全面</w:t>
      </w:r>
      <w:r>
        <w:rPr>
          <w:rFonts w:hint="eastAsia" w:ascii="仿宋" w:hAnsi="仿宋" w:eastAsia="仿宋" w:cs="仿宋"/>
          <w:sz w:val="32"/>
          <w:szCs w:val="32"/>
        </w:rPr>
        <w:t>贯彻落实《中共河南省委河南省人民政府关于推进乡村振兴战略的实施意见》和《河南省人民政府办公厅关于加快推进农业机械化和农机装备产业高质量发展的意见》，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促进</w:t>
      </w:r>
      <w:r>
        <w:rPr>
          <w:rFonts w:hint="eastAsia" w:ascii="仿宋" w:hAnsi="仿宋" w:eastAsia="仿宋" w:cs="仿宋"/>
          <w:sz w:val="32"/>
          <w:szCs w:val="32"/>
          <w:lang w:eastAsia="zh-CN"/>
        </w:rPr>
        <w:t>我</w:t>
      </w:r>
      <w:r>
        <w:rPr>
          <w:rFonts w:hint="eastAsia" w:ascii="仿宋" w:hAnsi="仿宋" w:eastAsia="仿宋" w:cs="仿宋"/>
          <w:sz w:val="32"/>
          <w:szCs w:val="32"/>
        </w:rPr>
        <w:t>县农业机械化事业又好又快发展。</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二、实施重点</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w:t>
      </w:r>
      <w:r>
        <w:rPr>
          <w:rFonts w:hint="eastAsia" w:ascii="楷体" w:hAnsi="楷体" w:eastAsia="楷体" w:cs="楷体"/>
          <w:b/>
          <w:bCs/>
          <w:sz w:val="32"/>
          <w:szCs w:val="32"/>
          <w:lang w:eastAsia="zh-CN"/>
        </w:rPr>
        <w:t>一</w:t>
      </w:r>
      <w:r>
        <w:rPr>
          <w:rFonts w:hint="eastAsia" w:ascii="楷体" w:hAnsi="楷体" w:eastAsia="楷体" w:cs="楷体"/>
          <w:b/>
          <w:bCs/>
          <w:sz w:val="32"/>
          <w:szCs w:val="32"/>
        </w:rPr>
        <w:t>)在支持重点方面着力突出稳产保供。</w:t>
      </w:r>
      <w:r>
        <w:rPr>
          <w:rFonts w:hint="eastAsia" w:ascii="仿宋" w:hAnsi="仿宋" w:eastAsia="仿宋" w:cs="仿宋"/>
          <w:sz w:val="32"/>
          <w:szCs w:val="32"/>
        </w:rPr>
        <w:t>将粮食、生猪等重要农畜产品生产所需机具全部列入我县补贴范围。开展农机新产品补贴试点，扩大补贴范围。</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（二）在补贴资质方面着力突出农机科技自主创新。</w:t>
      </w:r>
      <w:r>
        <w:rPr>
          <w:rFonts w:hint="eastAsia" w:ascii="仿宋" w:hAnsi="仿宋" w:eastAsia="仿宋" w:cs="仿宋"/>
          <w:sz w:val="32"/>
          <w:szCs w:val="32"/>
        </w:rPr>
        <w:t>推广使用智能终端和应用智能作业模式，深化北斗系统在农业生产中的推广应用，确保农业生产数据安全。</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（三）在补贴标准方面着力做到“有升有降”。</w:t>
      </w:r>
      <w:r>
        <w:rPr>
          <w:rFonts w:hint="eastAsia" w:ascii="仿宋" w:hAnsi="仿宋" w:eastAsia="仿宋" w:cs="仿宋"/>
          <w:sz w:val="32"/>
          <w:szCs w:val="32"/>
        </w:rPr>
        <w:t>一是提升粮食生产薄弱环节所需机具以及智能、复式、高端机具。二是逐步降低区域内保有量明显过多、技术相对落后的轮式拖拉机等机具，并将部分低价值的机具退出补贴范围。</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（四）在政策实施方面着力提升监督服务效能。</w:t>
      </w:r>
      <w:r>
        <w:rPr>
          <w:rFonts w:hint="eastAsia" w:ascii="仿宋" w:hAnsi="仿宋" w:eastAsia="仿宋" w:cs="仿宋"/>
          <w:sz w:val="32"/>
          <w:szCs w:val="32"/>
        </w:rPr>
        <w:t>一是提升信息化水平，推广应用手机A</w:t>
      </w:r>
      <w:r>
        <w:rPr>
          <w:rFonts w:hint="eastAsia" w:ascii="仿宋" w:hAnsi="仿宋" w:eastAsia="仿宋" w:cs="仿宋"/>
          <w:sz w:val="32"/>
          <w:szCs w:val="32"/>
          <w:lang w:val="en-US" w:eastAsia="zh-CN"/>
        </w:rPr>
        <w:t>PP</w:t>
      </w:r>
      <w:r>
        <w:rPr>
          <w:rFonts w:hint="eastAsia" w:ascii="仿宋" w:hAnsi="仿宋" w:eastAsia="仿宋" w:cs="仿宋"/>
          <w:sz w:val="32"/>
          <w:szCs w:val="32"/>
        </w:rPr>
        <w:t>、人脸识别、补贴机具二维码管理和物联网监控等技术，加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按农业农村部、财政部相关规定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三、补贴对象和补贴标准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农机购置补贴实行定额补贴，即同一种类、同一档次</w:t>
      </w:r>
      <w:r>
        <w:rPr>
          <w:rFonts w:hint="eastAsia" w:ascii="仿宋" w:hAnsi="仿宋" w:eastAsia="仿宋" w:cs="仿宋"/>
          <w:sz w:val="32"/>
          <w:szCs w:val="32"/>
          <w:lang w:eastAsia="zh-CN"/>
        </w:rPr>
        <w:t>的</w:t>
      </w:r>
      <w:r>
        <w:rPr>
          <w:rFonts w:hint="eastAsia" w:ascii="仿宋" w:hAnsi="仿宋" w:eastAsia="仿宋" w:cs="仿宋"/>
          <w:sz w:val="32"/>
          <w:szCs w:val="32"/>
        </w:rPr>
        <w:t>农业机械原则上在省域内实行统一的补贴标准，具体补贴标准</w:t>
      </w:r>
      <w:r>
        <w:rPr>
          <w:rFonts w:hint="eastAsia" w:ascii="仿宋" w:hAnsi="仿宋" w:eastAsia="仿宋" w:cs="仿宋"/>
          <w:sz w:val="32"/>
          <w:szCs w:val="32"/>
          <w:lang w:eastAsia="zh-CN"/>
        </w:rPr>
        <w:t>严格</w:t>
      </w:r>
      <w:r>
        <w:rPr>
          <w:rFonts w:hint="eastAsia" w:ascii="仿宋" w:hAnsi="仿宋" w:eastAsia="仿宋" w:cs="仿宋"/>
          <w:sz w:val="32"/>
          <w:szCs w:val="32"/>
        </w:rPr>
        <w:t>按《河南省2021-2023年农机购置补贴机具补贴额一览表》执行。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补贴额调整工作一般按年度进行。鉴于市场价格具有波动性，在政策实施过程中，具体产品或具体档次的中央财政资金实际补贴比例在30%上下一定范围内浮动符合政策规定。</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如本年度上级下达新的文件政策，则按照最新下达文件政策要求执行。</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四、资金分配与使用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年中央财政</w:t>
      </w:r>
      <w:r>
        <w:rPr>
          <w:rFonts w:hint="eastAsia" w:ascii="仿宋" w:hAnsi="仿宋" w:eastAsia="仿宋" w:cs="仿宋"/>
          <w:sz w:val="32"/>
          <w:szCs w:val="32"/>
          <w:lang w:eastAsia="zh-CN"/>
        </w:rPr>
        <w:t>已</w:t>
      </w:r>
      <w:r>
        <w:rPr>
          <w:rFonts w:hint="eastAsia" w:ascii="仿宋" w:hAnsi="仿宋" w:eastAsia="仿宋" w:cs="仿宋"/>
          <w:sz w:val="32"/>
          <w:szCs w:val="32"/>
        </w:rPr>
        <w:t>下达我县农机购置补贴专项资金规模</w:t>
      </w:r>
      <w:r>
        <w:rPr>
          <w:rFonts w:hint="eastAsia" w:ascii="仿宋" w:hAnsi="仿宋" w:eastAsia="仿宋" w:cs="仿宋"/>
          <w:sz w:val="32"/>
          <w:szCs w:val="32"/>
          <w:lang w:val="en-US" w:eastAsia="zh-CN"/>
        </w:rPr>
        <w:t>1131</w:t>
      </w:r>
      <w:r>
        <w:rPr>
          <w:rFonts w:hint="eastAsia" w:ascii="仿宋" w:hAnsi="仿宋" w:eastAsia="仿宋" w:cs="仿宋"/>
          <w:sz w:val="32"/>
          <w:szCs w:val="32"/>
        </w:rPr>
        <w:t>万元。财政部门要会同农机部门加强资金监管，定期调度和发布资金使用进度，强化区域内资金余缺动态调剂，避免出现资金大量结转。上年结转的农机购置补贴资金可继续在下年使用，连续两年未用完的结转资金，按有关规定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继续在全县范围开展农机报废更新补贴工作。鼓励农户积极开展农机报废更新补贴，加快淘汰耗能高、污染重、安全性能低的老旧农机具。农机报废更新补贴要与农机购置补贴相衔接，机具更新可在机具报废之前或者同时进行操作。农机报废更新补贴操作办法按有关规定执行。鼓励采取融资租赁、贴息贷款等形式购置大型农业机械。</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五、实施要求</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（一）加强领导，明确分工。</w:t>
      </w:r>
      <w:r>
        <w:rPr>
          <w:rFonts w:hint="eastAsia" w:ascii="仿宋" w:hAnsi="仿宋" w:eastAsia="仿宋" w:cs="仿宋"/>
          <w:sz w:val="32"/>
          <w:szCs w:val="32"/>
        </w:rPr>
        <w:t>县农机、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县农机部门组织实施、审核和监管责任和财政部门资金兑付、资金监管责任。加强绩效管理，形成管理闭环，切实提升政策实施管理工作能力水平。</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（二）优化服务，提升效能。</w:t>
      </w:r>
      <w:r>
        <w:rPr>
          <w:rFonts w:hint="eastAsia" w:ascii="仿宋" w:hAnsi="仿宋" w:eastAsia="仿宋" w:cs="仿宋"/>
          <w:sz w:val="32"/>
          <w:szCs w:val="32"/>
        </w:rPr>
        <w:t>要依托农机购置补贴申请办理服务系统（以下简称“办理服务系统"），动态分析县农机和财政部门办理补贴申请具体时限，及时预警和定期通报超时办理行为，督促加快补贴申请受理、资格审核、机具核验、资金兑付等工作。</w:t>
      </w:r>
      <w:r>
        <w:rPr>
          <w:rFonts w:hint="eastAsia" w:ascii="仿宋" w:hAnsi="仿宋" w:eastAsia="仿宋" w:cs="仿宋"/>
          <w:sz w:val="32"/>
          <w:szCs w:val="32"/>
          <w:lang w:eastAsia="zh-CN"/>
        </w:rPr>
        <w:t>畅</w:t>
      </w:r>
      <w:r>
        <w:rPr>
          <w:rFonts w:hint="eastAsia" w:ascii="仿宋" w:hAnsi="仿宋" w:eastAsia="仿宋" w:cs="仿宋"/>
          <w:sz w:val="32"/>
          <w:szCs w:val="32"/>
        </w:rPr>
        <w:t>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（三）公开信息，接受监督。</w:t>
      </w:r>
      <w:r>
        <w:rPr>
          <w:rFonts w:hint="eastAsia" w:ascii="仿宋" w:hAnsi="仿宋" w:eastAsia="仿宋" w:cs="仿宋"/>
          <w:sz w:val="32"/>
          <w:szCs w:val="32"/>
        </w:rPr>
        <w:t>县农机部门要因地制宜、综合运用宣传挂图、互联网等方式，以及村务公开等渠道，全方位开展补贴政策与实施工作宣传解读，着力提升政策知晓率，切实保障购机者、生产经销企业和广大农民群众的知情权、监督权。健全完善农机购置补贴信息公开专栏，按年度公告近三年县域内补贴受益信息，公开违规 查处结果等信息，主动接受社会监督。</w:t>
      </w:r>
    </w:p>
    <w:p>
      <w:pPr>
        <w:keepNext w:val="0"/>
        <w:keepLines w:val="0"/>
        <w:pageBreakBefore w:val="0"/>
        <w:widowControl w:val="0"/>
        <w:kinsoku/>
        <w:wordWrap/>
        <w:overflowPunct/>
        <w:topLinePunct w:val="0"/>
        <w:autoSpaceDE/>
        <w:autoSpaceDN/>
        <w:bidi w:val="0"/>
        <w:adjustRightInd/>
        <w:snapToGrid/>
        <w:spacing w:line="54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（四）加强监管，严惩违规。</w:t>
      </w:r>
      <w:r>
        <w:rPr>
          <w:rFonts w:hint="eastAsia" w:ascii="仿宋" w:hAnsi="仿宋" w:eastAsia="仿宋" w:cs="仿宋"/>
          <w:sz w:val="32"/>
          <w:szCs w:val="32"/>
        </w:rPr>
        <w:t>全面贯彻《河南省农业农村厅</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河南省财政厅关于进一步加强相关惠农补贴政策监管强化纪律约束的通知》（豫农财务〔2019〕37号）和《河南省农业机械购置补贴产品违规经营行为处理办法（试行）》（豫农机文〔2020〕42号）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附件</w:t>
      </w:r>
      <w:r>
        <w:rPr>
          <w:rFonts w:hint="eastAsia" w:ascii="仿宋" w:hAnsi="仿宋" w:eastAsia="仿宋" w:cs="仿宋"/>
          <w:sz w:val="32"/>
          <w:szCs w:val="32"/>
          <w:lang w:val="en-US" w:eastAsia="zh-CN"/>
        </w:rPr>
        <w:t>:1.</w:t>
      </w:r>
      <w:r>
        <w:rPr>
          <w:rFonts w:hint="eastAsia" w:ascii="仿宋" w:hAnsi="仿宋" w:eastAsia="仿宋" w:cs="仿宋"/>
          <w:sz w:val="32"/>
          <w:szCs w:val="32"/>
        </w:rPr>
        <w:t>河南省2021—2023年农机补贴实施操作要求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 xml:space="preserve">     2.</w:t>
      </w:r>
      <w:r>
        <w:rPr>
          <w:rFonts w:hint="eastAsia" w:ascii="仿宋" w:hAnsi="仿宋" w:eastAsia="仿宋" w:cs="仿宋"/>
          <w:bCs w:val="0"/>
          <w:color w:val="000000"/>
          <w:kern w:val="0"/>
          <w:sz w:val="32"/>
          <w:szCs w:val="32"/>
        </w:rPr>
        <w:t>2021—2023年河南省农机购置补贴机具种类范围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民权县农业机械服务中心     民权县财政局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2022年2月17日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ajorEastAsia" w:hAnsiTheme="majorEastAsia" w:eastAsiaTheme="majorEastAsia" w:cstheme="majorEastAsia"/>
          <w:b w:val="0"/>
          <w:bCs w:val="0"/>
          <w:sz w:val="32"/>
          <w:szCs w:val="32"/>
          <w:lang w:val="en-US" w:eastAsia="zh-CN"/>
        </w:rPr>
      </w:pPr>
      <w:r>
        <w:rPr>
          <w:rFonts w:hint="eastAsia" w:asciiTheme="majorEastAsia" w:hAnsiTheme="majorEastAsia" w:eastAsiaTheme="majorEastAsia" w:cstheme="majorEastAsia"/>
          <w:b w:val="0"/>
          <w:bCs w:val="0"/>
          <w:sz w:val="32"/>
          <w:szCs w:val="32"/>
          <w:lang w:eastAsia="zh-CN"/>
        </w:rPr>
        <w:t>附件</w:t>
      </w:r>
      <w:r>
        <w:rPr>
          <w:rFonts w:hint="eastAsia" w:asciiTheme="majorEastAsia" w:hAnsiTheme="majorEastAsia" w:eastAsiaTheme="majorEastAsia" w:cstheme="majorEastAsia"/>
          <w:b w:val="0"/>
          <w:bCs w:val="0"/>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河南省2021—2023年农机购置补贴实施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sz w:val="32"/>
          <w:szCs w:val="32"/>
        </w:rPr>
      </w:pPr>
      <w:r>
        <w:rPr>
          <w:rFonts w:hint="eastAsia" w:ascii="宋体" w:hAnsi="宋体" w:eastAsia="宋体" w:cs="宋体"/>
          <w:b/>
          <w:bCs/>
          <w:sz w:val="44"/>
          <w:szCs w:val="44"/>
        </w:rPr>
        <w:t>操作要求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一、补贴范围和补贴机具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围绕省委省政府三农工作部署，在中央财政补贴范围内选择 15大类44个小类171个品目机具列入我省补贴范围。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各县（市、区）应根据农业生产需要和资金供需实际，按照 公开、公平、公正原则，在省定补贴范围中，选取确定本县补贴机具品目，实行补贴范围内机具敞开补贴。要优先保障粮食、生猪等重要农畜产品生产、丘陵山区特色农业生产以及支持农业绿色发展和数字化发展所需机具的补贴需要，将更多符合条件的高端、复式、智能产品纳入补贴范围。按年度将区域内保有量明显过多、技术相对落后的机具品目剔除出补贴范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地方特色农业发展所需和小区域适用性强的机具，可列入地 方各级财政安排资金的补贴范围，具体补贴机具品目和补贴标准由地方自定，不得占用中央和省级财政补贴资金。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补贴机具必须是补贴范围内的产品（农机专项鉴定产品、农 机新产品除外），同时还应具备以下资质之一：（1）获得农业机械试验鉴定证书（包括尚在有效期内的农业机械推广鉴定证书）; （2）获得农机强制性产品认证证书；（3）列入农机自愿性认证采信试点范围，获得农机自愿性产品认证证书。补贴机具须在明显位置固定标有生产企业、产品名称和型号、出厂编号、生产日 期、执行标准等信息的铭牌。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二、补贴对象和补贴标准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补贴对象为从事农业生产的个人和农业生产经营组织，其中 农业生产经营组织包括农村集体经济组织、农民专业合作经济组织、农业企业和其他从事农业生产经营的组织。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补贴标准按《河南省2021-2023年农机购置补贴机具补贴额一览表》执行。补贴额将保持总体稳定，各县（市、区）要全面公开农机购置补贴机具补贴额一览表，加强宣传，引导购机者根据各档次的补贴定额自主议价。在政策实施过程中，发现具体产品或档次的中央财政资金实际补贴比例超过50%的，应及时组织调查，对有违规情节的，按相关规定处理；对无违规情节的补贴申请，可按原规定兑付补贴资金，并组织对相关产品及其所属档次补贴额进行评估，视情况及时上报调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三、资金分配与使用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农机购置补贴支出主要用于支持购置先进适用农业机械，以及开展有关试点和农机报废更新等方面。各省辖市农业农村部门会同财政部门采用因素法（包括基础性因素和政策性因素、绩效 因素、巩固拓展脱贫攻坚成果因素等）测算分配资金，不突破县级需求上限分配资金，调减资金结转量大、政策实施风险高、资金使用效益低地区的预算规模。财政部门会同农业农村（农机）部门加强资金使用情况监测，定期调度和发布各县（市、区）资 金使用进度，督促相关县（市、区）优先使用结转资金，督促预 算执行较慢地区加快使用，并按需组织开展县（市、区）际余缺调剂，重点将实施进度低于序时进度县（市、区）的补贴资金调增给已出现供需缺口的县（市、区），确保不发生资金大量结转， 促进资金使用实现两年动态紧平衡。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农机购置补贴政策继续覆盖全省所有农业县（市、区）。耕 地面积较小的市辖区可由邻近县（市、区）代为实施。省属黄泛 区农场纳入西华县农机补贴实施范围，由西华县农机部门、财政部门代为管理，其他农场纳入所在县农业机械购置补贴实施范围。农场职工与本县其他农民享有同等申请补贴的权利。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农机报废更新补贴按《农业农村部办公厅、财政部办公厅、 商务部办公厅关于印发〈农业机械报废更新补贴实施指导意见〉的通知》（农办机〔2020〕2号）执行。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农机购置补贴属约束性任务，资金必须足额保障，不得用于其他任务支出。地方各级财政部门要保障补贴工作实施必要的组 织管理经费。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四、操作流程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农机购置补贴政策按照“自主购机、定额补贴、先购后补、 县级结算、直补到卡（户）"方式实施。购机者自主选择购买机具，按市场化原则自行与农机产销企业协商确定购机价格与支付方式，并对交易行为真实性、有效性和可能发生的纠纷承担法律责任。购机行为完成后，购机者自主向当地农业农村（农机）部门提出补贴资金申领事项，签署告知承诺书，承诺购买行为、发票购机价格等信息真实有效，按相关规定申办补贴。</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各地农机购置补贴政策实施工作按以下流程操作。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（一）发布实施规定。</w:t>
      </w:r>
      <w:r>
        <w:rPr>
          <w:rFonts w:hint="eastAsia" w:ascii="仿宋" w:hAnsi="仿宋" w:eastAsia="仿宋" w:cs="仿宋"/>
          <w:sz w:val="32"/>
          <w:szCs w:val="32"/>
        </w:rPr>
        <w:t>县级农业农村（农机）、财政部门按职 责分工和有关规定发布本地区农机购置补贴实施方案、操作程序、补贴额一览表、补贴机具信息表、咨询投诉举报电话等信息。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（二）受理补贴申请。</w:t>
      </w:r>
      <w:r>
        <w:rPr>
          <w:rFonts w:hint="eastAsia" w:ascii="仿宋" w:hAnsi="仿宋" w:eastAsia="仿宋" w:cs="仿宋"/>
          <w:sz w:val="32"/>
          <w:szCs w:val="32"/>
        </w:rPr>
        <w:t>县级农业农村（农机）部门全面实行办理服务系统常年连续开放，推广使用带有人脸识别功能的手机 App等信息化技术，方便购机者随时在线提交补贴申请、应录尽录，加快实现购机者线下申领补贴“最多跑一次"“最多跑一 地"。县级农机购置补贴资金申请数量达到当年可用资金（含结 转资金和调剂资金）总量110%的，相关县应及时发布公告，停止受理补贴申请。</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（三）审验公示信息。</w:t>
      </w:r>
      <w:r>
        <w:rPr>
          <w:rFonts w:hint="eastAsia" w:ascii="仿宋" w:hAnsi="仿宋" w:eastAsia="仿宋" w:cs="仿宋"/>
          <w:sz w:val="32"/>
          <w:szCs w:val="32"/>
        </w:rPr>
        <w:t>县级农业农村（农机）部门按照《河 南省农机购置补贴机具核验工作要点（试行）》等要求，对补贴相关申请资料进行形式审核，对补贴机具进行核验，其中牌证管理机具凭牌证免于现场实物核验。农业农村（农机）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 申请点公示栏中同时公开公示信息。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32"/>
        </w:rPr>
      </w:pPr>
      <w:r>
        <w:rPr>
          <w:rFonts w:hint="eastAsia" w:ascii="楷体" w:hAnsi="楷体" w:eastAsia="楷体" w:cs="楷体"/>
          <w:b/>
          <w:bCs/>
          <w:sz w:val="32"/>
          <w:szCs w:val="32"/>
        </w:rPr>
        <w:t>（四）兑付补贴资金。</w:t>
      </w:r>
      <w:r>
        <w:rPr>
          <w:rFonts w:hint="eastAsia" w:ascii="仿宋" w:hAnsi="仿宋" w:eastAsia="仿宋" w:cs="仿宋"/>
          <w:sz w:val="32"/>
          <w:szCs w:val="32"/>
        </w:rPr>
        <w:t>县级财政部门审核农业农村（农机） 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农村（农机）部门联合向 上报告资金供需情况。补贴申领原则上当年有效，因当年财政补贴资金规模不够、办理手续时间紧张等无法享受补贴的，可在下 一个年度优先兑付。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补贴政策全面实行跨年度连续实施，除发生违规行为或补贴 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若存在争议，由县级补贴领导小组 集体研究决定。</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pStyle w:val="6"/>
        <w:widowControl w:val="0"/>
        <w:snapToGrid w:val="0"/>
        <w:spacing w:before="0" w:beforeAutospacing="0" w:after="0" w:afterAutospacing="0" w:line="360" w:lineRule="auto"/>
        <w:jc w:val="both"/>
        <w:rPr>
          <w:rFonts w:hint="eastAsia" w:ascii="黑体" w:hAnsi="黑体" w:eastAsia="黑体"/>
          <w:sz w:val="32"/>
          <w:szCs w:val="32"/>
          <w:lang w:bidi="ar"/>
        </w:rPr>
      </w:pPr>
    </w:p>
    <w:p>
      <w:pPr>
        <w:pStyle w:val="6"/>
        <w:widowControl w:val="0"/>
        <w:snapToGrid w:val="0"/>
        <w:spacing w:before="0" w:beforeAutospacing="0" w:after="0" w:afterAutospacing="0" w:line="360" w:lineRule="auto"/>
        <w:jc w:val="both"/>
        <w:rPr>
          <w:rFonts w:hint="eastAsia" w:ascii="黑体" w:hAnsi="黑体" w:eastAsia="黑体"/>
          <w:sz w:val="32"/>
          <w:szCs w:val="32"/>
          <w:lang w:bidi="ar"/>
        </w:rPr>
      </w:pP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jc w:val="both"/>
        <w:textAlignment w:val="auto"/>
        <w:rPr>
          <w:rFonts w:hint="eastAsia" w:ascii="黑体" w:hAnsi="黑体" w:eastAsia="黑体"/>
          <w:sz w:val="32"/>
          <w:szCs w:val="32"/>
          <w:lang w:bidi="ar"/>
        </w:rPr>
      </w:pP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jc w:val="both"/>
        <w:textAlignment w:val="auto"/>
        <w:rPr>
          <w:rFonts w:hint="eastAsia" w:ascii="黑体" w:hAnsi="黑体" w:eastAsia="黑体"/>
          <w:sz w:val="32"/>
          <w:szCs w:val="32"/>
          <w:lang w:bidi="ar"/>
        </w:rPr>
      </w:pP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jc w:val="both"/>
        <w:textAlignment w:val="auto"/>
        <w:rPr>
          <w:rFonts w:hint="eastAsia" w:ascii="宋体" w:hAnsi="宋体" w:eastAsia="宋体" w:cs="宋体"/>
          <w:b/>
          <w:bCs/>
          <w:color w:val="000000"/>
          <w:kern w:val="0"/>
          <w:sz w:val="36"/>
          <w:szCs w:val="36"/>
        </w:rPr>
      </w:pPr>
      <w:r>
        <w:rPr>
          <w:rFonts w:hint="eastAsia" w:ascii="宋体" w:hAnsi="宋体" w:eastAsia="宋体" w:cs="宋体"/>
          <w:sz w:val="32"/>
          <w:szCs w:val="32"/>
          <w:lang w:bidi="ar"/>
        </w:rPr>
        <w:t>附件2</w:t>
      </w:r>
    </w:p>
    <w:p>
      <w:pPr>
        <w:pStyle w:val="2"/>
        <w:keepNext w:val="0"/>
        <w:keepLines w:val="0"/>
        <w:pageBreakBefore w:val="0"/>
        <w:widowControl w:val="0"/>
        <w:kinsoku/>
        <w:wordWrap/>
        <w:overflowPunct/>
        <w:topLinePunct w:val="0"/>
        <w:autoSpaceDE/>
        <w:autoSpaceDN/>
        <w:bidi w:val="0"/>
        <w:adjustRightInd/>
        <w:spacing w:before="0" w:beforeAutospacing="0" w:after="0" w:afterAutospacing="0" w:line="560" w:lineRule="exact"/>
        <w:jc w:val="center"/>
        <w:textAlignment w:val="auto"/>
        <w:rPr>
          <w:rFonts w:hint="eastAsia" w:ascii="黑体" w:hAnsi="黑体" w:eastAsia="黑体" w:cs="华文中宋"/>
          <w:bCs w:val="0"/>
          <w:color w:val="000000"/>
          <w:kern w:val="0"/>
          <w:sz w:val="36"/>
          <w:szCs w:val="36"/>
        </w:rPr>
      </w:pPr>
      <w:r>
        <w:rPr>
          <w:rFonts w:hint="eastAsia" w:ascii="黑体" w:hAnsi="黑体" w:eastAsia="黑体" w:cs="华文中宋"/>
          <w:bCs w:val="0"/>
          <w:color w:val="000000"/>
          <w:kern w:val="0"/>
          <w:sz w:val="36"/>
          <w:szCs w:val="36"/>
        </w:rPr>
        <w:t>2021—2023年河南省农机购置补贴机具种类范围</w:t>
      </w:r>
    </w:p>
    <w:p>
      <w:pPr>
        <w:pStyle w:val="3"/>
        <w:keepNext w:val="0"/>
        <w:keepLines w:val="0"/>
        <w:pageBreakBefore w:val="0"/>
        <w:widowControl w:val="0"/>
        <w:kinsoku/>
        <w:wordWrap/>
        <w:overflowPunct/>
        <w:topLinePunct w:val="0"/>
        <w:autoSpaceDE/>
        <w:autoSpaceDN/>
        <w:bidi w:val="0"/>
        <w:adjustRightInd/>
        <w:spacing w:before="0" w:beforeLines="0" w:after="0" w:afterLines="0" w:line="560" w:lineRule="exact"/>
        <w:textAlignment w:val="auto"/>
        <w:rPr>
          <w:rFonts w:hint="eastAsia" w:ascii="仿宋" w:hAnsi="仿宋" w:eastAsia="仿宋"/>
          <w:sz w:val="36"/>
          <w:szCs w:val="36"/>
          <w:lang w:bidi="ar"/>
        </w:rPr>
      </w:pPr>
      <w:r>
        <w:rPr>
          <w:rFonts w:hint="eastAsia" w:ascii="楷体_GB2312" w:hAnsi="楷体_GB2312" w:eastAsia="楷体_GB2312" w:cs="楷体_GB2312"/>
          <w:sz w:val="32"/>
          <w:szCs w:val="32"/>
          <w:lang w:bidi="ar"/>
        </w:rPr>
        <w:t>（15大类44个小类171个品目）</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1.1耕地机械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1.1.1铧式犁</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1.1.8机滚船</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1.1.9机耕船</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1.2整地机械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2.1播种机械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2.1.7水稻直播机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2.1.8精量播种机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2.1.9整地施肥播种机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2.2育苗机械设备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2.3栽植机械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2.3.1水稻插秧机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2.3.2秧苗移栽机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2.3.3甘蔗种植机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2.4施肥机械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3.1中耕机械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3.2植保机械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3.3修剪机械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3.3.1茶树修剪机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3.3.2果树修剪机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3.3.3</w:t>
      </w:r>
      <w:r>
        <w:rPr>
          <w:rFonts w:hint="eastAsia" w:ascii="仿宋" w:hAnsi="仿宋" w:eastAsia="仿宋" w:cs="仿宋_GB2312"/>
          <w:color w:val="000000"/>
          <w:sz w:val="32"/>
          <w:szCs w:val="32"/>
        </w:rPr>
        <w:t>枝条切碎机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4.1谷物收获机械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4.2玉米收获机械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4.3棉麻作物收获机械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4.3.1棉花收获机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4.4果实收获机械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4.4.1</w:t>
      </w:r>
      <w:r>
        <w:rPr>
          <w:rFonts w:ascii="仿宋" w:hAnsi="仿宋" w:eastAsia="仿宋" w:cs="仿宋_GB2312"/>
          <w:color w:val="000000"/>
          <w:sz w:val="32"/>
          <w:szCs w:val="32"/>
        </w:rPr>
        <w:t>果实捡拾机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4.4.2番茄收获机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4.4.3</w:t>
      </w:r>
      <w:r>
        <w:rPr>
          <w:rFonts w:hint="eastAsia" w:ascii="仿宋" w:hAnsi="仿宋" w:eastAsia="仿宋" w:cs="仿宋_GB2312"/>
          <w:color w:val="000000"/>
          <w:sz w:val="32"/>
          <w:szCs w:val="32"/>
        </w:rPr>
        <w:t>辣椒收获机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4.5蔬菜收获机械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4.5.1果类蔬菜收获机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4.6花卉（茶叶）采收机械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4.6.1采茶机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4.7籽粒作物收获机械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4.7.1油菜籽收获机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4.7.2葵花籽收获机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4.8根茎作物收获机械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4.8.1薯类收获机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4.8.2甜菜收获机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4.8.3甘蔗收获机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4.8.4甘蔗割铺机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4.8.5花生收获机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4.9饲料作物收获机械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4.9.1割草机（含果园无人割草机）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4.9.2搂草机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4.9.3打（压）捆机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4.9.4圆草捆包膜机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4.9.5青饲料收获机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4.10茎秆收集处理机械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4.10.1秸秆粉碎还田机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4.10.2高秆作物割晒机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5.1脱粒机械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5.2清选机械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5.3干燥机械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5.4种子加工机械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6.1碾米机械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6.2磨粉（浆）机械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6.3果蔬加工机械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6.4茶叶加工机械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6.4.1茶叶杀青机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6.4.2茶叶揉捻机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6.4.3茶叶炒（烘）干机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6.4.4茶叶筛选机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6.4.5茶叶理条机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6.5剥壳（去皮）机械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6.5.1玉米剥皮机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6.5.2花生脱壳机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6.5.3干坚果脱壳机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6.5.4剥（刮）麻机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7.1装卸机械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8.1水泵</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8.2喷灌机械设备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9.1饲料（草）加工机械设备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9.2饲养机械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9.3畜产品采集加工机械设备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10.1水产养殖机械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10.2水产捕捞机械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10.2.1绞纲机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10.2.2船用油污水分离装置</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11.1废弃物处理设备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12.1</w:t>
      </w:r>
      <w:r>
        <w:rPr>
          <w:rFonts w:ascii="仿宋" w:hAnsi="仿宋" w:eastAsia="仿宋" w:cs="仿宋_GB2312"/>
          <w:color w:val="000000"/>
          <w:sz w:val="32"/>
          <w:szCs w:val="32"/>
        </w:rPr>
        <w:t>挖掘机械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12.2</w:t>
      </w:r>
      <w:r>
        <w:rPr>
          <w:rFonts w:hint="eastAsia" w:ascii="仿宋" w:hAnsi="仿宋" w:eastAsia="仿宋" w:cs="仿宋_GB2312"/>
          <w:color w:val="000000"/>
          <w:sz w:val="32"/>
          <w:szCs w:val="32"/>
        </w:rPr>
        <w:t>平地机械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13.1温室大棚设备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13.2食用菌生产设备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14.1拖拉机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14.1.2手扶拖拉机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14.1.3履带式拖拉机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15.1养蜂设备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15.2其他机械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籽棉清理机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3</w:t>
      </w:r>
      <w:r>
        <w:rPr>
          <w:rFonts w:hint="eastAsia" w:ascii="仿宋" w:hAnsi="仿宋" w:eastAsia="仿宋" w:cs="仿宋_GB2312"/>
          <w:color w:val="000000"/>
          <w:sz w:val="32"/>
          <w:szCs w:val="32"/>
        </w:rPr>
        <w:t>水帘降温设备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4</w:t>
      </w:r>
      <w:r>
        <w:rPr>
          <w:rFonts w:hint="eastAsia" w:ascii="仿宋" w:hAnsi="仿宋" w:eastAsia="仿宋" w:cs="仿宋_GB2312"/>
          <w:color w:val="000000"/>
          <w:sz w:val="32"/>
          <w:szCs w:val="32"/>
        </w:rPr>
        <w:t>热水加温系统</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5</w:t>
      </w:r>
      <w:r>
        <w:rPr>
          <w:rFonts w:hint="eastAsia" w:ascii="仿宋" w:hAnsi="仿宋" w:eastAsia="仿宋" w:cs="仿宋_GB2312"/>
          <w:color w:val="000000"/>
          <w:sz w:val="32"/>
          <w:szCs w:val="32"/>
        </w:rPr>
        <w:t>简易保鲜储藏设备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6</w:t>
      </w:r>
      <w:r>
        <w:rPr>
          <w:rFonts w:hint="eastAsia" w:ascii="仿宋" w:hAnsi="仿宋" w:eastAsia="仿宋" w:cs="仿宋_GB2312"/>
          <w:color w:val="000000"/>
          <w:sz w:val="32"/>
          <w:szCs w:val="32"/>
        </w:rPr>
        <w:t>水井钻机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7</w:t>
      </w:r>
      <w:r>
        <w:rPr>
          <w:rFonts w:hint="eastAsia" w:ascii="仿宋" w:hAnsi="仿宋" w:eastAsia="仿宋" w:cs="仿宋_GB2312"/>
          <w:color w:val="000000"/>
          <w:sz w:val="32"/>
          <w:szCs w:val="32"/>
        </w:rPr>
        <w:t>旋耕播种机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8</w:t>
      </w:r>
      <w:r>
        <w:rPr>
          <w:rFonts w:hint="eastAsia" w:ascii="仿宋" w:hAnsi="仿宋" w:eastAsia="仿宋" w:cs="仿宋_GB2312"/>
          <w:color w:val="000000"/>
          <w:sz w:val="32"/>
          <w:szCs w:val="32"/>
        </w:rPr>
        <w:t>大米色选机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9</w:t>
      </w:r>
      <w:r>
        <w:rPr>
          <w:rFonts w:hint="eastAsia" w:ascii="仿宋" w:hAnsi="仿宋" w:eastAsia="仿宋" w:cs="仿宋_GB2312"/>
          <w:color w:val="000000"/>
          <w:sz w:val="32"/>
          <w:szCs w:val="32"/>
        </w:rPr>
        <w:t>杂粮色选机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0</w:t>
      </w:r>
      <w:r>
        <w:rPr>
          <w:rFonts w:hint="eastAsia" w:ascii="仿宋" w:hAnsi="仿宋" w:eastAsia="仿宋" w:cs="仿宋_GB2312"/>
          <w:color w:val="000000"/>
          <w:sz w:val="32"/>
          <w:szCs w:val="32"/>
        </w:rPr>
        <w:t>甘蔗田间收集搬运机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11</w:t>
      </w:r>
      <w:r>
        <w:rPr>
          <w:rFonts w:hint="eastAsia" w:ascii="仿宋" w:hAnsi="仿宋" w:eastAsia="仿宋" w:cs="仿宋_GB2312"/>
          <w:color w:val="000000"/>
          <w:sz w:val="32"/>
          <w:szCs w:val="32"/>
        </w:rPr>
        <w:t>秸秆膨化机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ascii="仿宋" w:hAnsi="仿宋" w:eastAsia="仿宋" w:cs="仿宋_GB2312"/>
          <w:color w:val="000000"/>
          <w:sz w:val="32"/>
          <w:szCs w:val="32"/>
        </w:rPr>
        <w:t>2</w:t>
      </w:r>
      <w:r>
        <w:rPr>
          <w:rFonts w:hint="eastAsia" w:ascii="仿宋" w:hAnsi="仿宋" w:eastAsia="仿宋" w:cs="仿宋_GB2312"/>
          <w:color w:val="000000"/>
          <w:sz w:val="32"/>
          <w:szCs w:val="32"/>
        </w:rPr>
        <w:t>畜禽粪便发酵处理机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13</w:t>
      </w:r>
      <w:r>
        <w:rPr>
          <w:rFonts w:hint="eastAsia" w:ascii="仿宋" w:hAnsi="仿宋" w:eastAsia="仿宋" w:cs="仿宋_GB2312"/>
          <w:color w:val="000000"/>
          <w:sz w:val="32"/>
          <w:szCs w:val="32"/>
        </w:rPr>
        <w:t>农业用北斗终端及辅助驾驶系统（含渔船用）</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4沼气发电机组</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15.2.15有机肥加工设备</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15.2.16</w:t>
      </w:r>
      <w:r>
        <w:rPr>
          <w:rFonts w:ascii="仿宋" w:hAnsi="仿宋" w:eastAsia="仿宋" w:cs="仿宋_GB2312"/>
          <w:color w:val="000000"/>
          <w:sz w:val="32"/>
          <w:szCs w:val="32"/>
        </w:rPr>
        <w:t>茶叶输送机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15.2.17茶叶压扁机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15.2.18茶叶色选机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.19根（块）茎作物收获机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0果园作业平台</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2</w:t>
      </w:r>
      <w:r>
        <w:rPr>
          <w:rFonts w:hint="eastAsia" w:ascii="仿宋" w:hAnsi="仿宋" w:eastAsia="仿宋" w:cs="仿宋_GB2312"/>
          <w:color w:val="000000"/>
          <w:sz w:val="32"/>
          <w:szCs w:val="32"/>
        </w:rPr>
        <w:t>1果园轨道运输机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15.2.22秸秆收集机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3瓜果取籽机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4脱蓬（脯）机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15.2.2</w:t>
      </w:r>
      <w:r>
        <w:rPr>
          <w:rFonts w:hint="eastAsia" w:ascii="仿宋" w:hAnsi="仿宋" w:eastAsia="仿宋" w:cs="仿宋_GB2312"/>
          <w:color w:val="000000"/>
          <w:sz w:val="32"/>
          <w:szCs w:val="32"/>
        </w:rPr>
        <w:t>5</w:t>
      </w:r>
      <w:r>
        <w:rPr>
          <w:rFonts w:ascii="仿宋" w:hAnsi="仿宋" w:eastAsia="仿宋" w:cs="仿宋_GB2312"/>
          <w:color w:val="000000"/>
          <w:sz w:val="32"/>
          <w:szCs w:val="32"/>
        </w:rPr>
        <w:t>莲子剥壳去皮机</w:t>
      </w:r>
    </w:p>
    <w:p>
      <w:pPr>
        <w:pStyle w:val="6"/>
        <w:keepNext w:val="0"/>
        <w:keepLines w:val="0"/>
        <w:pageBreakBefore w:val="0"/>
        <w:widowControl w:val="0"/>
        <w:kinsoku/>
        <w:wordWrap/>
        <w:overflowPunct/>
        <w:topLinePunct w:val="0"/>
        <w:autoSpaceDE/>
        <w:autoSpaceDN/>
        <w:bidi w:val="0"/>
        <w:adjustRightInd/>
        <w:snapToGrid w:val="0"/>
        <w:spacing w:before="0" w:beforeAutospacing="0" w:after="0" w:afterAutospacing="0" w:line="540" w:lineRule="exact"/>
        <w:ind w:firstLine="640"/>
        <w:jc w:val="both"/>
        <w:textAlignment w:val="auto"/>
        <w:rPr>
          <w:rFonts w:ascii="仿宋" w:hAnsi="仿宋" w:eastAsia="仿宋"/>
          <w:sz w:val="32"/>
          <w:szCs w:val="32"/>
        </w:rPr>
      </w:pPr>
      <w:r>
        <w:rPr>
          <w:rFonts w:ascii="仿宋" w:hAnsi="仿宋" w:eastAsia="仿宋"/>
          <w:sz w:val="32"/>
          <w:szCs w:val="32"/>
        </w:rPr>
        <w:t>15.2.2</w:t>
      </w:r>
      <w:r>
        <w:rPr>
          <w:rFonts w:hint="eastAsia" w:ascii="仿宋" w:hAnsi="仿宋" w:eastAsia="仿宋"/>
          <w:sz w:val="32"/>
          <w:szCs w:val="32"/>
        </w:rPr>
        <w:t>6</w:t>
      </w:r>
      <w:r>
        <w:rPr>
          <w:rFonts w:ascii="仿宋" w:hAnsi="仿宋" w:eastAsia="仿宋"/>
          <w:sz w:val="32"/>
          <w:szCs w:val="32"/>
        </w:rPr>
        <w:t>水产养殖水质监控设备</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hint="default" w:ascii="仿宋" w:hAnsi="仿宋" w:eastAsia="仿宋" w:cs="仿宋"/>
          <w:sz w:val="32"/>
          <w:szCs w:val="32"/>
          <w:lang w:val="en-US" w:eastAsia="zh-CN"/>
        </w:rPr>
      </w:pPr>
    </w:p>
    <w:sectPr>
      <w:headerReference r:id="rId5" w:type="first"/>
      <w:footerReference r:id="rId8" w:type="first"/>
      <w:headerReference r:id="rId3" w:type="default"/>
      <w:footerReference r:id="rId6" w:type="default"/>
      <w:headerReference r:id="rId4" w:type="even"/>
      <w:footerReference r:id="rId7" w:type="even"/>
      <w:pgSz w:w="11906" w:h="16838"/>
      <w:pgMar w:top="1814" w:right="1757" w:bottom="1814" w:left="1757" w:header="851" w:footer="992" w:gutter="0"/>
      <w:pgNumType w:fmt="numberInDash"/>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609000101010101"/>
    <w:charset w:val="01"/>
    <w:family w:val="roman"/>
    <w:pitch w:val="default"/>
    <w:sig w:usb0="00000000" w:usb1="00000000" w:usb2="00000000" w:usb3="00000000" w:csb0="00040001" w:csb1="00000000"/>
  </w:font>
  <w:font w:name="FangSong_GB2312">
    <w:altName w:val="仿宋"/>
    <w:panose1 w:val="00000000000000000000"/>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swiss"/>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20700" cy="22987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20700" cy="229870"/>
                      </a:xfrm>
                      <a:prstGeom prst="rect">
                        <a:avLst/>
                      </a:prstGeom>
                      <a:noFill/>
                      <a:ln>
                        <a:noFill/>
                      </a:ln>
                    </wps:spPr>
                    <wps:txbx>
                      <w:txbxContent>
                        <w:p>
                          <w:pPr>
                            <w:snapToGrid w:val="0"/>
                            <w:rPr>
                              <w:rFonts w:hint="eastAsia" w:ascii="宋体" w:hAnsi="宋体" w:cs="楷体_GB2312"/>
                              <w:sz w:val="24"/>
                            </w:rPr>
                          </w:pPr>
                          <w:r>
                            <w:rPr>
                              <w:rFonts w:hint="eastAsia" w:ascii="宋体" w:hAnsi="宋体" w:cs="楷体_GB2312"/>
                              <w:sz w:val="24"/>
                            </w:rPr>
                            <w:fldChar w:fldCharType="begin"/>
                          </w:r>
                          <w:r>
                            <w:rPr>
                              <w:rFonts w:hint="eastAsia" w:ascii="宋体" w:hAnsi="宋体" w:cs="楷体_GB2312"/>
                              <w:sz w:val="24"/>
                            </w:rPr>
                            <w:instrText xml:space="preserve"> PAGE  \* MERGEFORMAT </w:instrText>
                          </w:r>
                          <w:r>
                            <w:rPr>
                              <w:rFonts w:hint="eastAsia" w:ascii="宋体" w:hAnsi="宋体" w:cs="楷体_GB2312"/>
                              <w:sz w:val="24"/>
                            </w:rPr>
                            <w:fldChar w:fldCharType="separate"/>
                          </w:r>
                          <w:r>
                            <w:rPr>
                              <w:rFonts w:ascii="宋体" w:hAnsi="宋体"/>
                              <w:sz w:val="24"/>
                            </w:rPr>
                            <w:t>- 1 -</w:t>
                          </w:r>
                          <w:r>
                            <w:rPr>
                              <w:rFonts w:hint="eastAsia" w:ascii="宋体" w:hAnsi="宋体" w:cs="楷体_GB2312"/>
                              <w:sz w:val="24"/>
                            </w:rPr>
                            <w:fldChar w:fldCharType="end"/>
                          </w:r>
                        </w:p>
                      </w:txbxContent>
                    </wps:txbx>
                    <wps:bodyPr lIns="0" tIns="0" rIns="0" bIns="0" upright="0"/>
                  </wps:wsp>
                </a:graphicData>
              </a:graphic>
            </wp:anchor>
          </w:drawing>
        </mc:Choice>
        <mc:Fallback>
          <w:pict>
            <v:shape id="_x0000_s1026" o:spid="_x0000_s1026" o:spt="202" type="#_x0000_t202" style="position:absolute;left:0pt;margin-top:0pt;height:18.1pt;width:41pt;mso-position-horizontal:center;mso-position-horizontal-relative:margin;z-index:251660288;mso-width-relative:page;mso-height-relative:page;" filled="f" stroked="f" coordsize="21600,21600" o:gfxdata="UEsDBAoAAAAAAIdO4kAAAAAAAAAAAAAAAAAEAAAAZHJzL1BLAwQUAAAACACHTuJADQksENIAAAAD&#10;AQAADwAAAGRycy9kb3ducmV2LnhtbE2PT0vEMBDF74LfIYzgzU22Qllr00VET4LYrQePaTPbhm0m&#10;tcn++/Y7etHLg8cb3vtNuT75URxwji6QhuVCgUDqgnXUa/hsXu9WIGIyZM0YCDWcMcK6ur4qTWHD&#10;kWo8bFIvuIRiYTQMKU2FlLEb0Ju4CBMSZ9swe5PYzr20szlyuR9lplQuvXHEC4OZ8HnAbrfZew1P&#10;X1S/uO/39qPe1q5pHhS95Tutb2+W6hFEwlP6O4YffEaHipnasCcbxaiBH0m/ytkqY9dquM8zkFUp&#10;/7NXF1BLAwQUAAAACACHTuJAUJIQ4bkBAABxAwAADgAAAGRycy9lMm9Eb2MueG1srVPBjtMwEL0j&#10;8Q+W7zTZSLBL1HQlVC1CQoC08AGuYzeWbI/lcZv0B+APOHHhznf1Oxi7TReWyx64OJOZyfN7bybL&#10;28lZtlcRDfiOXy1qzpSX0Bu/7fiXz3cvbjjDJHwvLHjV8YNCfrt6/mw5hlY1MIDtVWQE4rEdQ8eH&#10;lEJbVSgH5QQuIChPRQ3RiUSvcVv1UYyE7mzV1PWraoTYhwhSIVJ2fSryM2J8CiBobaRag9w55dMJ&#10;NSorEknCwQTkq8JWayXTR61RJWY7TkpTOekSijf5rFZL0W6jCIORZwriKRQeaXLCeLr0ArUWSbBd&#10;NP9AOSMjIOi0kOCqk5DiCKm4qh95cz+IoIoWshrDxXT8f7Dyw/5TZKbveMOZF44Gfvz+7fjj1/Hn&#10;V9Zke8aALXXdB+pL0xuYaGnmPFIyq550dPlJehjVydzDxVw1JSYp+bKpr2uqSCo1zeub62J+9fBx&#10;iJjeKnAsBx2PNLtiqdi/x0REqHVuyXd5uDPWlvlZ/1eCGnOmysxPDHOUps10lrOB/kBq7DtPTuat&#10;mIM4B5s52IVotkNZm0whA9EkCpnz1uRR//leuh7+lNV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DQksENIAAAADAQAADwAAAAAAAAABACAAAAAiAAAAZHJzL2Rvd25yZXYueG1sUEsBAhQAFAAAAAgA&#10;h07iQFCSEOG5AQAAcQMAAA4AAAAAAAAAAQAgAAAAIQEAAGRycy9lMm9Eb2MueG1sUEsFBgAAAAAG&#10;AAYAWQEAAEwFAAAAAA==&#10;">
              <v:fill on="f" focussize="0,0"/>
              <v:stroke on="f"/>
              <v:imagedata o:title=""/>
              <o:lock v:ext="edit" aspectratio="f"/>
              <v:textbox inset="0mm,0mm,0mm,0mm">
                <w:txbxContent>
                  <w:p>
                    <w:pPr>
                      <w:snapToGrid w:val="0"/>
                      <w:rPr>
                        <w:rFonts w:hint="eastAsia" w:ascii="宋体" w:hAnsi="宋体" w:cs="楷体_GB2312"/>
                        <w:sz w:val="24"/>
                      </w:rPr>
                    </w:pPr>
                    <w:r>
                      <w:rPr>
                        <w:rFonts w:hint="eastAsia" w:ascii="宋体" w:hAnsi="宋体" w:cs="楷体_GB2312"/>
                        <w:sz w:val="24"/>
                      </w:rPr>
                      <w:fldChar w:fldCharType="begin"/>
                    </w:r>
                    <w:r>
                      <w:rPr>
                        <w:rFonts w:hint="eastAsia" w:ascii="宋体" w:hAnsi="宋体" w:cs="楷体_GB2312"/>
                        <w:sz w:val="24"/>
                      </w:rPr>
                      <w:instrText xml:space="preserve"> PAGE  \* MERGEFORMAT </w:instrText>
                    </w:r>
                    <w:r>
                      <w:rPr>
                        <w:rFonts w:hint="eastAsia" w:ascii="宋体" w:hAnsi="宋体" w:cs="楷体_GB2312"/>
                        <w:sz w:val="24"/>
                      </w:rPr>
                      <w:fldChar w:fldCharType="separate"/>
                    </w:r>
                    <w:r>
                      <w:rPr>
                        <w:rFonts w:ascii="宋体" w:hAnsi="宋体"/>
                        <w:sz w:val="24"/>
                      </w:rPr>
                      <w:t>- 1 -</w:t>
                    </w:r>
                    <w:r>
                      <w:rPr>
                        <w:rFonts w:hint="eastAsia" w:ascii="宋体" w:hAnsi="宋体" w:cs="楷体_GB2312"/>
                        <w:sz w:val="24"/>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align>top</wp:align>
              </wp:positionV>
              <wp:extent cx="466725" cy="252730"/>
              <wp:effectExtent l="0" t="0" r="0" b="0"/>
              <wp:wrapNone/>
              <wp:docPr id="1" name="文本框 1"/>
              <wp:cNvGraphicFramePr/>
              <a:graphic xmlns:a="http://schemas.openxmlformats.org/drawingml/2006/main">
                <a:graphicData uri="http://schemas.microsoft.com/office/word/2010/wordprocessingShape">
                  <wps:wsp>
                    <wps:cNvSpPr txBox="1"/>
                    <wps:spPr>
                      <a:xfrm>
                        <a:off x="0" y="0"/>
                        <a:ext cx="466725" cy="252730"/>
                      </a:xfrm>
                      <a:prstGeom prst="rect">
                        <a:avLst/>
                      </a:prstGeom>
                      <a:noFill/>
                      <a:ln>
                        <a:noFill/>
                      </a:ln>
                    </wps:spPr>
                    <wps:txbx>
                      <w:txbxContent>
                        <w:p>
                          <w:pPr>
                            <w:pStyle w:val="4"/>
                            <w:rPr>
                              <w:rStyle w:val="10"/>
                              <w:sz w:val="24"/>
                            </w:rPr>
                          </w:pPr>
                        </w:p>
                      </w:txbxContent>
                    </wps:txbx>
                    <wps:bodyPr lIns="0" tIns="0" rIns="0" bIns="0" upright="0"/>
                  </wps:wsp>
                </a:graphicData>
              </a:graphic>
            </wp:anchor>
          </w:drawing>
        </mc:Choice>
        <mc:Fallback>
          <w:pict>
            <v:shape id="_x0000_s1026" o:spid="_x0000_s1026" o:spt="202" type="#_x0000_t202" style="position:absolute;left:0pt;height:19.9pt;width:36.75pt;mso-position-horizontal:outside;mso-position-horizontal-relative:margin;mso-position-vertical:top;z-index:251659264;mso-width-relative:page;mso-height-relative:page;" filled="f" stroked="f" coordsize="21600,21600" o:gfxdata="UEsDBAoAAAAAAIdO4kAAAAAAAAAAAAAAAAAEAAAAZHJzL1BLAwQUAAAACACHTuJAXiNkQ9QAAAAD&#10;AQAADwAAAGRycy9kb3ducmV2LnhtbE2PzU7DMBCE70i8g7WVuFG7VJQ2jVMhBCckRBoOHJ14m1iN&#10;1yF2f3h7Fi7lstJoRjPf5puz78URx+gCaZhNFQikJlhHrYaP6uV2CSImQ9b0gVDDN0bYFNdXucls&#10;OFGJx21qBZdQzIyGLqUhkzI2HXoTp2FAYm8XRm8Sy7GVdjQnLve9vFNqIb1xxAudGfCpw2a/PXgN&#10;j59UPruvt/q93JWuqlaKXhd7rW8mM7UGkfCcLmH4xWd0KJipDgeyUfQa+JH0d9l7mN+DqDXMV0uQ&#10;RS7/sxc/UEsDBBQAAAAIAIdO4kD+Xtl3uwEAAHEDAAAOAAAAZHJzL2Uyb0RvYy54bWytU0tu2zAQ&#10;3RfIHQjua9pq4xSC5QCBkaBA0RZIewCaIi0C/GFIW/IF2ht01U33PZfP0SEtO02yySIbajQzevPe&#10;G2pxPVhDdhKi9q6hs8mUEumEb7XbNPT7t9u3HyiJibuWG+9kQ/cy0uvlxZtFH2pZ+c6bVgJBEBfr&#10;PjS0SynUjEXRScvjxAfpsKg8WJ7wFTasBd4jujWsmk7nrPfQBvBCxojZ1bFIR0R4CaBXSgu58mJr&#10;pUtHVJCGJ5QUOx0iXRa2SkmRvigVZSKmoag0lROHYLzOJ1sueL0BHjotRgr8JRSeaLJcOxx6hlrx&#10;xMkW9DMoqwX46FWaCG/ZUUhxBFXMpk+8ue94kEULWh3D2fT4erDi8+4rEN3iTaDEcYsLP/z6efj9&#10;9/DnB5lle/oQa+y6D9iXhhs/5NYxHzGZVQ8KbH6iHoJ1NHd/NlcOiQhMvp/Pr6pLSgSWqsvq6l0x&#10;nz18HCCmO+ktyUFDAXdXLOW7TzHhQGw9teRZzt9qY8r+jHuUwMacYZn5kWGO0rAeRtpr3+5Rjfno&#10;0Ml8K04BnIL1KdgG0JuuXJtMIQPhJgqZ8dbkVf//Xroe/pTl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F4jZEPUAAAAAwEAAA8AAAAAAAAAAQAgAAAAIgAAAGRycy9kb3ducmV2LnhtbFBLAQIUABQA&#10;AAAIAIdO4kD+Xtl3uwEAAHEDAAAOAAAAAAAAAAEAIAAAACMBAABkcnMvZTJvRG9jLnhtbFBLBQYA&#10;AAAABgAGAFkBAABQBQAAAAA=&#10;">
              <v:fill on="f" focussize="0,0"/>
              <v:stroke on="f"/>
              <v:imagedata o:title=""/>
              <o:lock v:ext="edit" aspectratio="f"/>
              <v:textbox inset="0mm,0mm,0mm,0mm">
                <w:txbxContent>
                  <w:p>
                    <w:pPr>
                      <w:pStyle w:val="4"/>
                      <w:rPr>
                        <w:rStyle w:val="10"/>
                        <w:sz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1"/>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A813B8"/>
    <w:rsid w:val="0140455A"/>
    <w:rsid w:val="070909E5"/>
    <w:rsid w:val="0971210D"/>
    <w:rsid w:val="0A7C2CC9"/>
    <w:rsid w:val="0CE845EA"/>
    <w:rsid w:val="13946453"/>
    <w:rsid w:val="21D2367B"/>
    <w:rsid w:val="255F6685"/>
    <w:rsid w:val="25DF6F59"/>
    <w:rsid w:val="2CFB7DEF"/>
    <w:rsid w:val="2D4264DF"/>
    <w:rsid w:val="308C1245"/>
    <w:rsid w:val="31024741"/>
    <w:rsid w:val="32D66407"/>
    <w:rsid w:val="34C240C5"/>
    <w:rsid w:val="37807A4F"/>
    <w:rsid w:val="3784742D"/>
    <w:rsid w:val="39126D95"/>
    <w:rsid w:val="44D1497B"/>
    <w:rsid w:val="47680817"/>
    <w:rsid w:val="57A813B8"/>
    <w:rsid w:val="60CE2C84"/>
    <w:rsid w:val="70A95019"/>
    <w:rsid w:val="79910CEB"/>
    <w:rsid w:val="7B9D06CE"/>
    <w:rsid w:val="7E402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character" w:customStyle="1" w:styleId="11">
    <w:name w:val="p91"/>
    <w:basedOn w:val="9"/>
    <w:qFormat/>
    <w:uiPriority w:val="0"/>
    <w:rPr>
      <w:rFonts w:hint="default" w:ascii="ˎ̥" w:hAnsi="ˎ̥"/>
      <w:sz w:val="18"/>
      <w:szCs w:val="18"/>
    </w:rPr>
  </w:style>
  <w:style w:type="paragraph" w:customStyle="1" w:styleId="12">
    <w:name w:val="Header or footer|2"/>
    <w:basedOn w:val="1"/>
    <w:qFormat/>
    <w:uiPriority w:val="0"/>
    <w:pPr>
      <w:widowControl w:val="0"/>
      <w:shd w:val="clear" w:color="auto" w:fill="auto"/>
    </w:pPr>
    <w:rPr>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2020-09-02T03:26:00Z</dcterms:created>
  <dc:creator>Administrator</dc:creator>
  <cp:lastModifiedBy>Mr郭</cp:lastModifiedBy>
  <cp:lastPrinted>2021-11-17T07:01:00Z</cp:lastPrinted>
  <dcterms:modified xsi:type="dcterms:W3CDTF">2022-02-17T02:13:55Z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E67734E909DB48E0AA25C364B7225A25</vt:lpwstr>
  </property>
</Properties>
</file>