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firstLine="209" w:firstLineChars="30"/>
        <w:jc w:val="center"/>
        <w:textAlignment w:val="auto"/>
        <w:rPr>
          <w:rFonts w:hint="eastAsia" w:ascii="方正大标宋简体" w:hAnsi="方正大标宋简体" w:eastAsia="方正大标宋简体" w:cs="方正大标宋简体"/>
          <w:color w:val="auto"/>
          <w:spacing w:val="20"/>
          <w:sz w:val="44"/>
          <w:szCs w:val="44"/>
        </w:rPr>
      </w:pPr>
      <w:r>
        <w:rPr>
          <w:spacing w:val="20"/>
          <w:sz w:val="66"/>
          <w:szCs w:val="66"/>
        </w:rPr>
        <mc:AlternateContent>
          <mc:Choice Requires="wpg">
            <w:drawing>
              <wp:anchor distT="0" distB="0" distL="114300" distR="114300" simplePos="0" relativeHeight="251661312" behindDoc="0" locked="0" layoutInCell="1" allowOverlap="1">
                <wp:simplePos x="0" y="0"/>
                <wp:positionH relativeFrom="column">
                  <wp:posOffset>62865</wp:posOffset>
                </wp:positionH>
                <wp:positionV relativeFrom="paragraph">
                  <wp:posOffset>708660</wp:posOffset>
                </wp:positionV>
                <wp:extent cx="5400040" cy="40640"/>
                <wp:effectExtent l="0" t="19050" r="10160" b="16510"/>
                <wp:wrapNone/>
                <wp:docPr id="8" name="组合 8"/>
                <wp:cNvGraphicFramePr/>
                <a:graphic xmlns:a="http://schemas.openxmlformats.org/drawingml/2006/main">
                  <a:graphicData uri="http://schemas.microsoft.com/office/word/2010/wordprocessingGroup">
                    <wpg:wgp>
                      <wpg:cNvGrpSpPr/>
                      <wpg:grpSpPr>
                        <a:xfrm>
                          <a:off x="0" y="0"/>
                          <a:ext cx="5400040" cy="40640"/>
                          <a:chOff x="2566" y="3207"/>
                          <a:chExt cx="8560" cy="64"/>
                        </a:xfrm>
                      </wpg:grpSpPr>
                      <wps:wsp>
                        <wps:cNvPr id="1" name="直接连接符 1"/>
                        <wps:cNvCnPr/>
                        <wps:spPr>
                          <a:xfrm>
                            <a:off x="2566" y="3207"/>
                            <a:ext cx="8561"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 name="直接连接符 2"/>
                        <wps:cNvCnPr/>
                        <wps:spPr>
                          <a:xfrm>
                            <a:off x="2566" y="3271"/>
                            <a:ext cx="8561" cy="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4.95pt;margin-top:55.8pt;height:3.2pt;width:425.2pt;z-index:251661312;mso-width-relative:page;mso-height-relative:page;" coordorigin="2566,3207" coordsize="8560,64" o:gfxdata="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vLc0u2AAAAAkBAAAPAAAAAAAAAAEAIAAAACIAAABkcnMvZG93&#10;bnJldi54bWxQSwECFAAUAAAACACHTuJAcVRfj3ICAAC5BgAADgAAAAAAAAABACAAAAAnAQAAZHJz&#10;L2Uyb0RvYy54bWxQSwUGAAAAAAYABgBZAQAACwYAAAAA&#10;">
                <o:lock v:ext="edit" aspectratio="f"/>
                <v:line id="_x0000_s1026" o:spid="_x0000_s1026" o:spt="20" style="position:absolute;left:2566;top:3207;height:0;width:8561;" filled="f" stroked="t" coordsize="21600,21600" o:gfxdata="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ihpnu7UAAADaAAAADwAA&#10;AAAAAAABACAAAAAiAAAAZHJzL2Rvd25yZXYueG1sUEsBAhQAFAAAAAgAh07iQDMvBZ47AAAAOQAA&#10;ABAAAAAAAAAAAQAgAAAABAEAAGRycy9zaGFwZXhtbC54bWxQSwUGAAAAAAYABgBbAQAArgMAAAAA&#10;">
                  <v:fill on="f" focussize="0,0"/>
                  <v:stroke weight="3pt" color="#FF0000 [3204]" miterlimit="8" joinstyle="miter"/>
                  <v:imagedata o:title=""/>
                  <o:lock v:ext="edit" aspectratio="f"/>
                </v:line>
                <v:line id="_x0000_s1026" o:spid="_x0000_s1026" o:spt="20" style="position:absolute;left:2566;top:3271;height:0;width:8561;" filled="f" stroked="t" coordsize="21600,21600" o:gfxdata="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0Qlb4A&#10;AADaAAAADwAAAAAAAAABACAAAAAiAAAAZHJzL2Rvd25yZXYueG1sUEsBAhQAFAAAAAgAh07iQDMv&#10;BZ47AAAAOQAAABAAAAAAAAAAAQAgAAAADQEAAGRycy9zaGFwZXhtbC54bWxQSwUGAAAAAAYABgBb&#10;AQAAtwMAAAAA&#10;">
                  <v:fill on="f" focussize="0,0"/>
                  <v:stroke weight="1pt" color="#FF0000 [3204]" miterlimit="8" joinstyle="miter"/>
                  <v:imagedata o:title=""/>
                  <o:lock v:ext="edit" aspectratio="f"/>
                </v:line>
              </v:group>
            </w:pict>
          </mc:Fallback>
        </mc:AlternateContent>
      </w:r>
      <w:r>
        <w:rPr>
          <w:rFonts w:hint="eastAsia" w:ascii="方正大标宋简体" w:hAnsi="方正大标宋简体" w:eastAsia="方正大标宋简体" w:cs="方正大标宋简体"/>
          <w:color w:val="FF0000"/>
          <w:spacing w:val="20"/>
          <w:sz w:val="66"/>
          <w:szCs w:val="66"/>
          <w:lang w:val="en-US"/>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8532495</wp:posOffset>
                </wp:positionV>
                <wp:extent cx="543623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436235" cy="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5pt;margin-top:671.85pt;height:0pt;width:428.05pt;z-index:251659264;mso-width-relative:page;mso-height-relative:page;" filled="f" stroked="t" coordsize="21600,21600" o:gfxdata="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uEdc&#10;qdkAAAAMAQAADwAAAAAAAAABACAAAAAiAAAAZHJzL2Rvd25yZXYueG1sUEsBAhQAFAAAAAgAh07i&#10;QM+6W6boAQAAsgMAAA4AAAAAAAAAAQAgAAAAKAEAAGRycy9lMm9Eb2MueG1sUEsFBgAAAAAGAAYA&#10;WQEAAIIFAAAAAA==&#10;">
                <v:fill on="f" focussize="0,0"/>
                <v:stroke weight="1pt" color="#FF0000 [3204]" miterlimit="8" joinstyle="miter"/>
                <v:imagedata o:title=""/>
                <o:lock v:ext="edit" aspectratio="f"/>
              </v:line>
            </w:pict>
          </mc:Fallback>
        </mc:AlternateContent>
      </w:r>
      <w:r>
        <w:rPr>
          <w:rFonts w:hint="eastAsia" w:ascii="方正大标宋简体" w:hAnsi="方正大标宋简体" w:eastAsia="方正大标宋简体" w:cs="方正大标宋简体"/>
          <w:color w:val="FF0000"/>
          <w:spacing w:val="20"/>
          <w:sz w:val="66"/>
          <w:szCs w:val="66"/>
          <w:lang w:val="en-US"/>
        </w:rPr>
        <mc:AlternateContent>
          <mc:Choice Requires="wps">
            <w:drawing>
              <wp:anchor distT="0" distB="0" distL="114300" distR="114300" simplePos="0" relativeHeight="251660288" behindDoc="0" locked="0" layoutInCell="1" allowOverlap="1">
                <wp:simplePos x="0" y="0"/>
                <wp:positionH relativeFrom="column">
                  <wp:posOffset>-14605</wp:posOffset>
                </wp:positionH>
                <wp:positionV relativeFrom="paragraph">
                  <wp:posOffset>8566150</wp:posOffset>
                </wp:positionV>
                <wp:extent cx="5436235" cy="0"/>
                <wp:effectExtent l="0" t="19050" r="12065" b="19050"/>
                <wp:wrapNone/>
                <wp:docPr id="4" name="直接连接符 4"/>
                <wp:cNvGraphicFramePr/>
                <a:graphic xmlns:a="http://schemas.openxmlformats.org/drawingml/2006/main">
                  <a:graphicData uri="http://schemas.microsoft.com/office/word/2010/wordprocessingShape">
                    <wps:wsp>
                      <wps:cNvCnPr/>
                      <wps:spPr>
                        <a:xfrm>
                          <a:off x="0" y="0"/>
                          <a:ext cx="5436235"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5pt;margin-top:674.5pt;height:0pt;width:428.05pt;z-index:251660288;mso-width-relative:page;mso-height-relative:page;" filled="f" stroked="t" coordsize="21600,21600" o:gfxdata="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TRK6bW&#10;AAAADAEAAA8AAAAAAAAAAQAgAAAAIgAAAGRycy9kb3ducmV2LnhtbFBLAQIUABQAAAAIAIdO4kA8&#10;xyiy6QEAALIDAAAOAAAAAAAAAAEAIAAAACUBAABkcnMvZTJvRG9jLnhtbFBLBQYAAAAABgAGAFkB&#10;AACABQAAAAA=&#10;">
                <v:fill on="f" focussize="0,0"/>
                <v:stroke weight="3pt" color="#FF0000 [3204]" miterlimit="8" joinstyle="miter"/>
                <v:imagedata o:title=""/>
                <o:lock v:ext="edit" aspectratio="f"/>
              </v:line>
            </w:pict>
          </mc:Fallback>
        </mc:AlternateContent>
      </w:r>
      <w:r>
        <w:rPr>
          <w:rFonts w:hint="eastAsia" w:ascii="方正大标宋简体" w:hAnsi="方正大标宋简体" w:eastAsia="方正大标宋简体" w:cs="方正大标宋简体"/>
          <w:color w:val="FF0000"/>
          <w:spacing w:val="20"/>
          <w:sz w:val="66"/>
          <w:szCs w:val="66"/>
          <w:lang w:val="en-US" w:eastAsia="zh-CN"/>
        </w:rPr>
        <w:t>社 旗 县 农 业 农 村 局</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300" w:right="300" w:firstLine="420"/>
        <w:jc w:val="center"/>
        <w:textAlignment w:val="auto"/>
        <w:rPr>
          <w:rStyle w:val="8"/>
          <w:rFonts w:hint="eastAsia" w:ascii="方正小标宋_GBK" w:hAnsi="方正小标宋_GBK" w:eastAsia="方正小标宋_GBK" w:cs="方正小标宋_GBK"/>
          <w:b/>
          <w:bCs/>
          <w:color w:val="auto"/>
          <w:sz w:val="44"/>
          <w:szCs w:val="44"/>
          <w:shd w:val="clear" w:fill="FFFFFF"/>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300" w:right="300" w:firstLine="420"/>
        <w:jc w:val="center"/>
        <w:textAlignment w:val="auto"/>
        <w:rPr>
          <w:rStyle w:val="8"/>
          <w:rFonts w:hint="eastAsia" w:ascii="方正小标宋_GBK" w:hAnsi="方正小标宋_GBK" w:eastAsia="方正小标宋_GBK" w:cs="方正小标宋_GBK"/>
          <w:b/>
          <w:bCs/>
          <w:color w:val="auto"/>
          <w:sz w:val="44"/>
          <w:szCs w:val="44"/>
          <w:shd w:val="clear" w:fill="FFFFFF"/>
          <w:lang w:eastAsia="zh-CN"/>
        </w:rPr>
      </w:pPr>
      <w:r>
        <w:rPr>
          <w:rStyle w:val="8"/>
          <w:rFonts w:hint="eastAsia" w:ascii="方正小标宋_GBK" w:hAnsi="方正小标宋_GBK" w:eastAsia="方正小标宋_GBK" w:cs="方正小标宋_GBK"/>
          <w:b/>
          <w:bCs/>
          <w:color w:val="auto"/>
          <w:sz w:val="44"/>
          <w:szCs w:val="44"/>
          <w:shd w:val="clear" w:fill="FFFFFF"/>
          <w:lang w:eastAsia="zh-CN"/>
        </w:rPr>
        <w:t>社旗县农业农村局</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300" w:right="300" w:firstLine="420"/>
        <w:jc w:val="center"/>
        <w:textAlignment w:val="auto"/>
        <w:rPr>
          <w:rStyle w:val="8"/>
          <w:rFonts w:hint="eastAsia" w:ascii="方正小标宋_GBK" w:hAnsi="方正小标宋_GBK" w:eastAsia="方正小标宋_GBK" w:cs="方正小标宋_GBK"/>
          <w:b/>
          <w:bCs/>
          <w:color w:val="auto"/>
          <w:sz w:val="44"/>
          <w:szCs w:val="44"/>
          <w:shd w:val="clear" w:fill="FFFFFF"/>
        </w:rPr>
      </w:pPr>
      <w:r>
        <w:rPr>
          <w:rStyle w:val="8"/>
          <w:rFonts w:hint="eastAsia" w:ascii="方正小标宋_GBK" w:hAnsi="方正小标宋_GBK" w:eastAsia="方正小标宋_GBK" w:cs="方正小标宋_GBK"/>
          <w:b/>
          <w:bCs/>
          <w:color w:val="auto"/>
          <w:sz w:val="44"/>
          <w:szCs w:val="44"/>
          <w:shd w:val="clear" w:fill="FFFFFF"/>
        </w:rPr>
        <w:t>关于建立农机购置补贴政策实施异常</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300" w:right="300" w:firstLine="420"/>
        <w:jc w:val="center"/>
        <w:textAlignment w:val="auto"/>
        <w:rPr>
          <w:rStyle w:val="8"/>
          <w:rFonts w:hint="eastAsia" w:ascii="方正小标宋_GBK" w:hAnsi="方正小标宋_GBK" w:eastAsia="方正小标宋_GBK" w:cs="方正小标宋_GBK"/>
          <w:b/>
          <w:bCs/>
          <w:color w:val="auto"/>
          <w:sz w:val="44"/>
          <w:szCs w:val="44"/>
          <w:shd w:val="clear" w:fill="FFFFFF"/>
        </w:rPr>
      </w:pPr>
      <w:r>
        <w:rPr>
          <w:rStyle w:val="8"/>
          <w:rFonts w:hint="eastAsia" w:ascii="方正小标宋_GBK" w:hAnsi="方正小标宋_GBK" w:eastAsia="方正小标宋_GBK" w:cs="方正小标宋_GBK"/>
          <w:b/>
          <w:bCs/>
          <w:color w:val="auto"/>
          <w:sz w:val="44"/>
          <w:szCs w:val="44"/>
          <w:shd w:val="clear" w:fill="FFFFFF"/>
        </w:rPr>
        <w:t>情况报告制度</w:t>
      </w:r>
      <w:bookmarkStart w:id="0" w:name="_GoBack"/>
      <w:bookmarkEnd w:id="0"/>
      <w:r>
        <w:rPr>
          <w:rStyle w:val="8"/>
          <w:rFonts w:hint="eastAsia" w:ascii="方正小标宋_GBK" w:hAnsi="方正小标宋_GBK" w:eastAsia="方正小标宋_GBK" w:cs="方正小标宋_GBK"/>
          <w:b/>
          <w:bCs/>
          <w:color w:val="auto"/>
          <w:sz w:val="44"/>
          <w:szCs w:val="44"/>
          <w:shd w:val="clear" w:fill="FFFFFF"/>
        </w:rPr>
        <w:t>的通知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right="300"/>
        <w:jc w:val="left"/>
        <w:textAlignment w:val="auto"/>
        <w:rPr>
          <w:rStyle w:val="8"/>
          <w:rFonts w:hint="eastAsia" w:ascii="方正小标宋_GBK" w:hAnsi="方正小标宋_GBK" w:eastAsia="方正小标宋_GBK" w:cs="方正小标宋_GBK"/>
          <w:b w:val="0"/>
          <w:bCs w:val="0"/>
          <w:color w:val="auto"/>
          <w:sz w:val="44"/>
          <w:szCs w:val="44"/>
          <w:shd w:val="clear" w:fill="FFFFFF"/>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right="300"/>
        <w:jc w:val="left"/>
        <w:textAlignment w:val="auto"/>
        <w:rPr>
          <w:rStyle w:val="8"/>
          <w:rFonts w:hint="eastAsia" w:ascii="仿宋_GB2312" w:hAnsi="仿宋_GB2312" w:eastAsia="仿宋_GB2312" w:cs="仿宋_GB2312"/>
          <w:b w:val="0"/>
          <w:bCs w:val="0"/>
          <w:color w:val="auto"/>
          <w:sz w:val="32"/>
          <w:szCs w:val="32"/>
          <w:shd w:val="clear" w:fill="FFFFFF"/>
          <w:lang w:eastAsia="zh-CN"/>
        </w:rPr>
      </w:pPr>
      <w:r>
        <w:rPr>
          <w:rStyle w:val="8"/>
          <w:rFonts w:hint="eastAsia" w:ascii="仿宋_GB2312" w:hAnsi="仿宋_GB2312" w:eastAsia="仿宋_GB2312" w:cs="仿宋_GB2312"/>
          <w:b w:val="0"/>
          <w:bCs w:val="0"/>
          <w:color w:val="auto"/>
          <w:sz w:val="32"/>
          <w:szCs w:val="32"/>
          <w:shd w:val="clear" w:fill="FFFFFF"/>
          <w:lang w:eastAsia="zh-CN"/>
        </w:rPr>
        <w:t>各股室、局属各单位：</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根据农机购置补贴政策实施有关文件精神，为及时处置政策实施中的异常情况，有效防范风险，保障资金安全，现就做好异常情况报告工作</w:t>
      </w:r>
      <w:r>
        <w:rPr>
          <w:rFonts w:hint="eastAsia" w:ascii="仿宋_GB2312" w:hAnsi="仿宋_GB2312" w:eastAsia="仿宋_GB2312" w:cs="仿宋_GB2312"/>
          <w:b w:val="0"/>
          <w:bCs w:val="0"/>
          <w:color w:val="auto"/>
          <w:sz w:val="32"/>
          <w:szCs w:val="32"/>
          <w:shd w:val="clear" w:fill="FFFFFF"/>
          <w:lang w:eastAsia="zh-CN"/>
        </w:rPr>
        <w:t>明确如下</w:t>
      </w:r>
      <w:r>
        <w:rPr>
          <w:rFonts w:hint="eastAsia" w:ascii="仿宋_GB2312" w:hAnsi="仿宋_GB2312" w:eastAsia="仿宋_GB2312" w:cs="仿宋_GB2312"/>
          <w:b w:val="0"/>
          <w:bCs w:val="0"/>
          <w:color w:val="auto"/>
          <w:sz w:val="32"/>
          <w:szCs w:val="32"/>
          <w:shd w:val="clear" w:fill="FFFFFF"/>
        </w:rPr>
        <w:t>：</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黑体" w:hAnsi="黑体" w:eastAsia="黑体" w:cs="黑体"/>
          <w:b w:val="0"/>
          <w:bCs w:val="0"/>
          <w:color w:val="auto"/>
          <w:sz w:val="32"/>
          <w:szCs w:val="32"/>
          <w:shd w:val="clear" w:fill="FFFFFF"/>
        </w:rPr>
      </w:pPr>
      <w:r>
        <w:rPr>
          <w:rFonts w:hint="eastAsia" w:ascii="黑体" w:hAnsi="黑体" w:eastAsia="黑体" w:cs="黑体"/>
          <w:b w:val="0"/>
          <w:bCs w:val="0"/>
          <w:color w:val="auto"/>
          <w:sz w:val="32"/>
          <w:szCs w:val="32"/>
          <w:shd w:val="clear" w:fill="FFFFFF"/>
        </w:rPr>
        <w:t>一、异常情况报告的情形</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在产品投档、补贴产品信息上传农机购置补贴辅助管理系统、补贴产品经营、参与补贴申领、违规处理等过程中，有下列情形之一的，应及时报告：</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（一）已列入全国农机购置补贴黑名单和违规通报数据库的生产企业、法定代表人、主要从业人员及机具，参与</w:t>
      </w:r>
      <w:r>
        <w:rPr>
          <w:rFonts w:hint="eastAsia" w:ascii="仿宋_GB2312" w:hAnsi="仿宋_GB2312" w:eastAsia="仿宋_GB2312" w:cs="仿宋_GB2312"/>
          <w:b w:val="0"/>
          <w:bCs w:val="0"/>
          <w:color w:val="auto"/>
          <w:sz w:val="32"/>
          <w:szCs w:val="32"/>
          <w:shd w:val="clear" w:fill="FFFFFF"/>
          <w:lang w:eastAsia="zh-CN"/>
        </w:rPr>
        <w:t>社旗县</w:t>
      </w:r>
      <w:r>
        <w:rPr>
          <w:rFonts w:hint="eastAsia" w:ascii="仿宋_GB2312" w:hAnsi="仿宋_GB2312" w:eastAsia="仿宋_GB2312" w:cs="仿宋_GB2312"/>
          <w:b w:val="0"/>
          <w:bCs w:val="0"/>
          <w:color w:val="auto"/>
          <w:sz w:val="32"/>
          <w:szCs w:val="32"/>
          <w:shd w:val="clear" w:fill="FFFFFF"/>
        </w:rPr>
        <w:t>农机购置补贴政策的；</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（二）国家产品质量监督抽查或市场质量监督检查中不合格的机具，参与</w:t>
      </w:r>
      <w:r>
        <w:rPr>
          <w:rFonts w:hint="eastAsia" w:ascii="仿宋_GB2312" w:hAnsi="仿宋_GB2312" w:eastAsia="仿宋_GB2312" w:cs="仿宋_GB2312"/>
          <w:b w:val="0"/>
          <w:bCs w:val="0"/>
          <w:color w:val="auto"/>
          <w:sz w:val="32"/>
          <w:szCs w:val="32"/>
          <w:shd w:val="clear" w:fill="FFFFFF"/>
          <w:lang w:eastAsia="zh-CN"/>
        </w:rPr>
        <w:t>社旗县</w:t>
      </w:r>
      <w:r>
        <w:rPr>
          <w:rFonts w:hint="eastAsia" w:ascii="仿宋_GB2312" w:hAnsi="仿宋_GB2312" w:eastAsia="仿宋_GB2312" w:cs="仿宋_GB2312"/>
          <w:b w:val="0"/>
          <w:bCs w:val="0"/>
          <w:color w:val="auto"/>
          <w:sz w:val="32"/>
          <w:szCs w:val="32"/>
          <w:shd w:val="clear" w:fill="FFFFFF"/>
        </w:rPr>
        <w:t>农机购置补贴政策的；</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（三）在农机购置补贴辅助管理系统、农机购置补贴产品自主投档平台中上传不实信息；</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（四）农机生产企业违反承诺行为的；</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（五）农机生产企业违反农机产品“三包”规定的；</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（六）农机生产企业销售的补贴产品与投档产品信息不一致的；</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（七）发票价格与农户实际支付金额不一致的；</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（八）区域适应性差的补贴机具；短期内出现大批量的补贴机具；补贴产品实际补贴比例明显偏高的;</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（九）其他可能影响补贴政策规范实施的异常情形。</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黑体" w:hAnsi="黑体" w:eastAsia="黑体" w:cs="黑体"/>
          <w:b w:val="0"/>
          <w:bCs w:val="0"/>
          <w:color w:val="auto"/>
          <w:sz w:val="32"/>
          <w:szCs w:val="32"/>
          <w:shd w:val="clear" w:fill="FFFFFF"/>
        </w:rPr>
      </w:pPr>
      <w:r>
        <w:rPr>
          <w:rFonts w:hint="eastAsia" w:ascii="黑体" w:hAnsi="黑体" w:eastAsia="黑体" w:cs="黑体"/>
          <w:b w:val="0"/>
          <w:bCs w:val="0"/>
          <w:color w:val="auto"/>
          <w:sz w:val="32"/>
          <w:szCs w:val="32"/>
          <w:shd w:val="clear" w:fill="FFFFFF"/>
        </w:rPr>
        <w:t>二、异常情况的调查及处理</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（一）</w:t>
      </w:r>
      <w:r>
        <w:rPr>
          <w:rFonts w:hint="eastAsia" w:ascii="仿宋_GB2312" w:hAnsi="仿宋_GB2312" w:eastAsia="仿宋_GB2312" w:cs="仿宋_GB2312"/>
          <w:b w:val="0"/>
          <w:bCs w:val="0"/>
          <w:color w:val="auto"/>
          <w:sz w:val="32"/>
          <w:szCs w:val="32"/>
          <w:shd w:val="clear" w:fill="FFFFFF"/>
          <w:lang w:eastAsia="zh-CN"/>
        </w:rPr>
        <w:t>县</w:t>
      </w:r>
      <w:r>
        <w:rPr>
          <w:rFonts w:hint="eastAsia" w:ascii="仿宋_GB2312" w:hAnsi="仿宋_GB2312" w:eastAsia="仿宋_GB2312" w:cs="仿宋_GB2312"/>
          <w:b w:val="0"/>
          <w:bCs w:val="0"/>
          <w:color w:val="auto"/>
          <w:sz w:val="32"/>
          <w:szCs w:val="32"/>
          <w:shd w:val="clear" w:fill="FFFFFF"/>
        </w:rPr>
        <w:t>农业农村局发现或接到异常情况线索报告后，应及时组织人员调查核实，并报市农业</w:t>
      </w:r>
      <w:r>
        <w:rPr>
          <w:rFonts w:hint="eastAsia" w:ascii="仿宋_GB2312" w:hAnsi="仿宋_GB2312" w:eastAsia="仿宋_GB2312" w:cs="仿宋_GB2312"/>
          <w:b w:val="0"/>
          <w:bCs w:val="0"/>
          <w:color w:val="auto"/>
          <w:sz w:val="32"/>
          <w:szCs w:val="32"/>
          <w:shd w:val="clear" w:fill="FFFFFF"/>
          <w:lang w:eastAsia="zh-CN"/>
        </w:rPr>
        <w:t>机械中心</w:t>
      </w:r>
      <w:r>
        <w:rPr>
          <w:rFonts w:hint="eastAsia" w:ascii="仿宋_GB2312" w:hAnsi="仿宋_GB2312" w:eastAsia="仿宋_GB2312" w:cs="仿宋_GB2312"/>
          <w:b w:val="0"/>
          <w:bCs w:val="0"/>
          <w:color w:val="auto"/>
          <w:sz w:val="32"/>
          <w:szCs w:val="32"/>
          <w:shd w:val="clear" w:fill="FFFFFF"/>
        </w:rPr>
        <w:t>备案。</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（二）如涉及到全局性、系统性风险问题，县农业农村局应先向市农业</w:t>
      </w:r>
      <w:r>
        <w:rPr>
          <w:rFonts w:hint="eastAsia" w:ascii="仿宋_GB2312" w:hAnsi="仿宋_GB2312" w:eastAsia="仿宋_GB2312" w:cs="仿宋_GB2312"/>
          <w:b w:val="0"/>
          <w:bCs w:val="0"/>
          <w:color w:val="auto"/>
          <w:sz w:val="32"/>
          <w:szCs w:val="32"/>
          <w:shd w:val="clear" w:fill="FFFFFF"/>
          <w:lang w:eastAsia="zh-CN"/>
        </w:rPr>
        <w:t>机械中心</w:t>
      </w:r>
      <w:r>
        <w:rPr>
          <w:rFonts w:hint="eastAsia" w:ascii="仿宋_GB2312" w:hAnsi="仿宋_GB2312" w:eastAsia="仿宋_GB2312" w:cs="仿宋_GB2312"/>
          <w:b w:val="0"/>
          <w:bCs w:val="0"/>
          <w:color w:val="auto"/>
          <w:sz w:val="32"/>
          <w:szCs w:val="32"/>
          <w:shd w:val="clear" w:fill="FFFFFF"/>
        </w:rPr>
        <w:t>书面申请采取暂停补贴等措施。</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lang w:eastAsia="zh-CN"/>
        </w:rPr>
      </w:pPr>
      <w:r>
        <w:rPr>
          <w:rFonts w:hint="eastAsia" w:ascii="仿宋_GB2312" w:hAnsi="仿宋_GB2312" w:eastAsia="仿宋_GB2312" w:cs="仿宋_GB2312"/>
          <w:b w:val="0"/>
          <w:bCs w:val="0"/>
          <w:color w:val="auto"/>
          <w:sz w:val="32"/>
          <w:szCs w:val="32"/>
          <w:shd w:val="clear" w:fill="FFFFFF"/>
        </w:rPr>
        <w:t>（三）县农业农村局对异常情况调查核实后，如涉及违规的，及时上报市农业机械技术中心按照《河南省农业机械购置补贴产品违规经营行为处理办法（试行）》（豫农机文〔2020〕42号）等相关规定和要求处理。</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黑体" w:hAnsi="黑体" w:eastAsia="黑体" w:cs="黑体"/>
          <w:b w:val="0"/>
          <w:bCs w:val="0"/>
          <w:color w:val="auto"/>
          <w:sz w:val="32"/>
          <w:szCs w:val="32"/>
          <w:shd w:val="clear" w:fill="FFFFFF"/>
        </w:rPr>
      </w:pPr>
      <w:r>
        <w:rPr>
          <w:rFonts w:hint="eastAsia" w:ascii="黑体" w:hAnsi="黑体" w:eastAsia="黑体" w:cs="黑体"/>
          <w:b w:val="0"/>
          <w:bCs w:val="0"/>
          <w:color w:val="auto"/>
          <w:sz w:val="32"/>
          <w:szCs w:val="32"/>
          <w:shd w:val="clear" w:fill="FFFFFF"/>
        </w:rPr>
        <w:t>三、其他要求</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一）高度重视异常情况报告工作。建立异常情况报告制度是保障农机购置补贴政策规范实施和有效防范风险的重要举措。拓宽异常情况收集渠道，对农机产销企业和农户等反映的异常情况，均应高度重视，认真排查。强化参与补贴工作人员的廉政教育和业务培训，提升政策实施和风险防控能力，发现异常情况要第一时间请示报告。</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二）增强突发异常情况的处置能力。重点关注关键环节的异常情况，善于发现可能引起不良影响的隐患和苗头。全面梳理查找风险点，有针对性地制定防控措施。安排综合素质和责任心较强的同志从事补贴机具核实和材料核验等工作。对于出现异常紧急情况应及时稳妥处理，确保补贴政策平稳有序实施。</w:t>
      </w:r>
    </w:p>
    <w:p>
      <w:pPr>
        <w:pStyle w:val="5"/>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60" w:lineRule="exact"/>
        <w:ind w:left="0" w:right="0" w:firstLine="632" w:firstLineChars="200"/>
        <w:jc w:val="left"/>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三）加强异常情况报告的主动性和时效性。强化责任意识，明确职责分工。要加强对县农业农村部门异常情况线索的调查、认定、处理、报告等工作的指导。加强工作衔接，所有上报材料，均应确认接收人已经收到。对于可能涉及到全局性、系统性风险问题，及时采取措施并报告，防止问题扩大化。</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60" w:lineRule="exact"/>
        <w:ind w:left="0" w:right="0" w:firstLine="420"/>
        <w:jc w:val="left"/>
        <w:textAlignment w:val="auto"/>
        <w:rPr>
          <w:rFonts w:hint="eastAsia" w:ascii="仿宋_GB2312" w:hAnsi="仿宋_GB2312" w:eastAsia="仿宋_GB2312" w:cs="仿宋_GB2312"/>
          <w:b w:val="0"/>
          <w:bCs w:val="0"/>
          <w:color w:val="auto"/>
          <w:sz w:val="32"/>
          <w:szCs w:val="32"/>
          <w:shd w:val="clear" w:fill="FFFFFF"/>
        </w:rPr>
      </w:pP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cs="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ind w:firstLine="5372" w:firstLineChars="17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2021年11月12日</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firstLine="1308" w:firstLineChars="300"/>
        <w:jc w:val="both"/>
        <w:textAlignment w:val="auto"/>
        <w:rPr>
          <w:rFonts w:hint="eastAsia" w:ascii="方正大标宋简体" w:hAnsi="方正大标宋简体" w:eastAsia="方正大标宋简体" w:cs="方正大标宋简体"/>
          <w:color w:val="auto"/>
          <w:sz w:val="44"/>
          <w:szCs w:val="44"/>
          <w:lang w:val="en-US" w:eastAsia="zh-CN"/>
        </w:rPr>
      </w:pPr>
    </w:p>
    <w:sectPr>
      <w:footerReference r:id="rId3" w:type="default"/>
      <w:pgSz w:w="11906" w:h="16838"/>
      <w:pgMar w:top="1701" w:right="1701" w:bottom="1701" w:left="1701" w:header="851" w:footer="992" w:gutter="0"/>
      <w:pgNumType w:fmt="decimal"/>
      <w:cols w:space="72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073FF9"/>
    <w:rsid w:val="0C2D2C5C"/>
    <w:rsid w:val="10E22267"/>
    <w:rsid w:val="1CE637C4"/>
    <w:rsid w:val="1FD0145B"/>
    <w:rsid w:val="28E11768"/>
    <w:rsid w:val="2A8D6ABC"/>
    <w:rsid w:val="2EB64BEA"/>
    <w:rsid w:val="2F856001"/>
    <w:rsid w:val="323A44AC"/>
    <w:rsid w:val="348F13C9"/>
    <w:rsid w:val="42073FF9"/>
    <w:rsid w:val="446D5EE3"/>
    <w:rsid w:val="45DB5AA6"/>
    <w:rsid w:val="494645F6"/>
    <w:rsid w:val="56675DBD"/>
    <w:rsid w:val="6F235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700" w:lineRule="exact"/>
      <w:jc w:val="center"/>
      <w:outlineLvl w:val="0"/>
    </w:pPr>
    <w:rPr>
      <w:rFonts w:ascii="Times New Roman" w:hAnsi="Times New Roman" w:eastAsia="方正小标宋简体"/>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eastAsia="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rPr>
      <w:sz w:val="24"/>
    </w:rPr>
  </w:style>
  <w:style w:type="character" w:styleId="8">
    <w:name w:val="Strong"/>
    <w:basedOn w:val="7"/>
    <w:qFormat/>
    <w:uiPriority w:val="0"/>
    <w:rPr>
      <w:b/>
      <w:bCs/>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2020-10-29T11:04:00Z</dcterms:created>
  <dc:creator>天河水</dc:creator>
  <cp:lastModifiedBy>Administrator</cp:lastModifiedBy>
  <cp:lastPrinted>2022-02-09T08:37:00Z</cp:lastPrinted>
  <dcterms:modified xsi:type="dcterms:W3CDTF">2022-02-09T08:49:22Z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BC9B7197DCAD4F98845935A352081977</vt:lpwstr>
  </property>
</Properties>
</file>