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农业机械报废操作流程图</w:t>
      </w:r>
      <w:r>
        <w:rPr>
          <w:rFonts w:hint="eastAsia" w:ascii="楷体" w:hAnsi="楷体" w:eastAsia="楷体" w:cs="楷体"/>
          <w:sz w:val="44"/>
          <w:szCs w:val="44"/>
          <w:lang w:eastAsia="zh-CN"/>
        </w:rPr>
        <w:drawing>
          <wp:inline distT="0" distB="0" distL="114300" distR="114300">
            <wp:extent cx="8938260" cy="5966460"/>
            <wp:effectExtent l="0" t="0" r="15240" b="15240"/>
            <wp:docPr id="1" name="图片 1" descr="336e697940b4c1a35ac7a8674660d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36e697940b4c1a35ac7a8674660d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38260" cy="596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760" w:right="1118" w:bottom="846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347CD"/>
    <w:rsid w:val="6F93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2021-06-27T03:26:00Z</dcterms:created>
  <dc:creator>lenovo</dc:creator>
  <cp:lastModifiedBy>lenovo</cp:lastModifiedBy>
  <dcterms:modified xsi:type="dcterms:W3CDTF">2021-06-27T03:30:28Z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1F7A27B8026D44288008A4C5DEAFF879</vt:lpwstr>
  </property>
</Properties>
</file>