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44"/>
        </w:tabs>
        <w:spacing w:line="579" w:lineRule="exact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tabs>
          <w:tab w:val="left" w:pos="8844"/>
        </w:tabs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浚县20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年农业机械购置补贴</w:t>
      </w:r>
    </w:p>
    <w:p>
      <w:pPr>
        <w:tabs>
          <w:tab w:val="left" w:pos="8844"/>
        </w:tabs>
        <w:spacing w:line="579" w:lineRule="exact"/>
        <w:ind w:right="-6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实 施 方 案</w:t>
      </w:r>
    </w:p>
    <w:p>
      <w:pPr>
        <w:tabs>
          <w:tab w:val="left" w:pos="8844"/>
        </w:tabs>
        <w:spacing w:line="579" w:lineRule="exact"/>
        <w:ind w:right="-6" w:firstLine="640" w:firstLineChars="200"/>
        <w:jc w:val="center"/>
        <w:rPr>
          <w:rFonts w:hint="eastAsia" w:cs="仿宋_GB2312"/>
          <w:szCs w:val="32"/>
        </w:rPr>
      </w:pPr>
    </w:p>
    <w:p>
      <w:pPr>
        <w:widowControl/>
        <w:wordWrap w:val="0"/>
        <w:spacing w:before="100" w:beforeAutospacing="1" w:after="100" w:afterAutospacing="1" w:line="486" w:lineRule="atLeast"/>
        <w:ind w:firstLine="320" w:firstLineChars="10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cs="黑体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为更好满足农民群众农业生产购机需求，提高农业生产机械化水平，根据《河南省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-US" w:eastAsia="zh-CN"/>
        </w:rPr>
        <w:t>21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-20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-US" w:eastAsia="zh-CN"/>
        </w:rPr>
        <w:t>23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年农业机械购置补贴实施指导意见》（豫农文〔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-US" w:eastAsia="zh-CN"/>
        </w:rPr>
        <w:t>21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〕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val="en-US" w:eastAsia="zh-CN"/>
        </w:rPr>
        <w:t>185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号）要求，结合我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实际，制定本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方案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一、总体要求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深入贯彻落实党的十九大精神，以推动农业机械化全程全面高质高效发展、助力实施乡村振兴战略为基本要求，提高粮食和主要农产品生产全程机械化水平，为国家粮食安全和主要农产品有效供给提供坚实的物质技术支撑；坚持绿色生态导向，大力推广节能环保、精准高效农业机械化技术，促进农业绿色发展；推动科技创新，加快技术先进农机产品推广，提升农机作业质量；推动普惠共享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在资金支持范围内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推进机具敞开补贴，加大对农业机械化薄弱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生产环节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支持力度，促进农机社会化服务，切实增强政策获得感；创新组织管理，着力提升制度化、信息化、便利化水平，严惩失信违规行为，严防系统性违规风险，确保政策规范廉洁高效实施，不断提升公众满意度和政策实现度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二、实施范围和补贴对象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（一）实施范围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农机购置补贴政策继续覆盖全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所有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乡镇、街道办事处。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(二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7"/>
          <w:szCs w:val="27"/>
        </w:rPr>
        <w:t>)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补贴对象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（三）资金分配使用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hint="eastAsia" w:ascii="仿宋" w:hAnsi="仿宋" w:eastAsia="仿宋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根据上级文件精神，结合我县实际，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资金分配向粮油作物种植、农机化薄弱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生产环节和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深松整地、高效植保、节水灌溉、秸秆还田离田、畜禽粪污资源化利用、病死畜禽无害化处理、残膜回收等支持农业绿色发展机具适当倾斜。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7"/>
          <w:szCs w:val="27"/>
        </w:rPr>
        <w:t>三、</w:t>
      </w: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补贴机具种类、资质和补贴标准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（一）补贴机具种类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围绕省委省政府确定的农业“四优四化”发展等支农重点工作，在中央财政补贴范围内选择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14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大类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30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个小类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61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个品目机具列入补贴范围。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根据农业生产实际需要和补贴资金规模，按照公开、公平、公正原则，在省定补贴范围中，优先保证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粮食等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产品生产所需机具和深松整地、免耕播种、高效植保、节水灌溉、高效施肥、秸秆还田离田、畜禽粪污资源化利用、病死畜禽无害化处理、残膜回收等支持农业绿色发展机具的补贴需要，逐步将区域内保有量明显过多、技术相对落后、需求量小的机具品目剔除出补贴范围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（二）补贴机具资质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补贴机具必须是补贴范围内的产品，同时还应具备以下资质之一：（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1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）获得农业机械试验鉴定证书（农业机械推广鉴定证书）；（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）获得农机强制性产品认证证书；（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（三）补贴标准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农机购置补贴资金实行定额补贴，即同一种类、同一档次农业机械原则上在省域内实行统一的补贴标准，具体补贴标准按《河南省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2018-2020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年农机购置补贴机具补贴额一览表》执行。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四、操作流程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农机购置补贴政策实施实行自主购机、定额补贴、先购后补、县级结算、直补到卡（户）。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）自主选机购机。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购机者自主选机购机，并对购机行为和购买机具的真实性负责，承担相应责任义务。鼓励非现金方式支付购机款，便于购置行为及资金往来全程留痕。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购机者对其购置的补贴机具拥有所有权，可自主使用、依法依规处置。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二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）补贴资金申请。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购机者自主向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浚县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业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机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械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管理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局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提出补贴资金申领事项，按规定提交申请资料，其真实性、完整性和有效性由购机者和补贴机具产销企业负责，并承担相关法律责任。实行牌证管理的机具，要先行办理牌证照。严禁补贴机具产销企业代替购机者到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农业机械管理局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办理补贴申请手续。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购机者年度内享受补贴资金总额的上限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为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val="en-US" w:eastAsia="zh-CN"/>
        </w:rPr>
        <w:t>8万元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三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）补贴资金兑付。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按职责分工、时限要求对补贴相关申请资料进行形式审核，组织核验重点机具，由财政部门分期分批向符合要求的购机者发放补贴资金。对实行牌证管理的补贴机具，可由农机安全监理机构在上牌过程中一并核验；对安装类、设施类或安全风险较高类补贴机具，可在生产应用一段时期后兑付补贴资金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五、工作要求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（一）加强领导，密切配合。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要切实加强组织领导，密切沟通配合，明确职责分工，形成工作合力。要加强补贴工作业务培训，组织开展廉政警示教育，提高补贴工作人员业务素质和工作能力。对实施过程中出现的问题，要认真研究解决，重大问题及时向上级机关报告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，要在政府领导下组织实施农机购置补贴政策，共同做好补贴资金需求摸底、补贴对象确认、补贴机具核实、补贴资金兑付、违规行为处理等工作，重大事项提交县农机购置补贴领导小组集体研究决策。</w:t>
      </w:r>
    </w:p>
    <w:p>
      <w:pPr>
        <w:widowControl/>
        <w:wordWrap w:val="0"/>
        <w:spacing w:before="100" w:beforeAutospacing="1" w:after="100" w:afterAutospacing="1" w:line="486" w:lineRule="atLeast"/>
        <w:ind w:firstLine="48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（二）规范操作，高效服务。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全面运用农机购置补贴辅助管理系统，推广使用补贴机具网络投档软件。探索补贴机具“一机一码”识别管理，提高政策实施信息化水平。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切实加快补贴申请受理、资格审核、机具核验、受益公示等工作，鼓励在购机集中地开展受理申请、核实登记等“一站式”服务。补贴申领有效期原则上当年有效，少量确因急需，当年财政补贴资金规模不够、办理手续时间紧张等无法享受补贴的，可在下一个年度优先补贴，以稳定购机者补贴申领预期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补贴机具核验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过程中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，做到“见机、见人、见发票”，重点加强对大中型机具的核验和单人多台套、短期内大批量等异常申请补贴情形的监管，积极探索实行购机真实性承诺、受益信息实时公开和事后抽查核验相结合的补贴机具监管方式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制定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具体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《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补贴机具核实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办法》，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由县级农机购置补贴领导小组确定。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（三）公开信息，接受监督。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要进一步加强政策宣传，扩大社会公众知晓度。要全面建立农机购置补贴信息公开专栏，对申请购机补贴者信息进行公示，对实施方案、补贴额一览表、操作程序、补贴机具信息表、投诉咨询方式、违规查处结果等重点信息全面公开，实时公布补贴资金申请登记进度和享受补贴购机者信息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（四）加强监管，严惩违规。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全面建立农机购置补贴工作内部控制规程，规范业务流程，强化监督制约。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hint="eastAsia" w:eastAsia="仿宋" w:cs="黑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加强购机者信息保护，配合相关部门严厉打击窃取、倒卖、泄露补贴信息和电信诈骗等不法行为。</w:t>
      </w:r>
    </w:p>
    <w:p>
      <w:pPr>
        <w:tabs>
          <w:tab w:val="left" w:pos="8844"/>
        </w:tabs>
        <w:spacing w:line="579" w:lineRule="exact"/>
        <w:ind w:right="-6" w:firstLine="1540" w:firstLineChars="550"/>
        <w:rPr>
          <w:rFonts w:hint="eastAsia"/>
          <w:sz w:val="28"/>
          <w:szCs w:val="28"/>
        </w:rPr>
      </w:pPr>
    </w:p>
    <w:p>
      <w:pPr>
        <w:tabs>
          <w:tab w:val="left" w:pos="8844"/>
        </w:tabs>
        <w:spacing w:line="579" w:lineRule="exact"/>
        <w:ind w:right="-6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/>
          <w:sz w:val="28"/>
          <w:szCs w:val="28"/>
          <w:lang w:eastAsia="zh-CN"/>
        </w:rPr>
        <w:t>浚县农业机械管理局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>
      <w:pPr>
        <w:tabs>
          <w:tab w:val="left" w:pos="8844"/>
        </w:tabs>
        <w:spacing w:line="579" w:lineRule="exact"/>
        <w:ind w:right="-6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2021年6月28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日    </w:t>
      </w:r>
    </w:p>
    <w:p>
      <w:pPr>
        <w:tabs>
          <w:tab w:val="left" w:pos="8844"/>
        </w:tabs>
        <w:spacing w:line="579" w:lineRule="exact"/>
        <w:ind w:right="-6" w:firstLine="4160" w:firstLineChars="1300"/>
        <w:rPr>
          <w:rFonts w:hint="eastAsia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67174"/>
    <w:rsid w:val="2576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2021-12-13T02:47:00Z</dcterms:created>
  <dc:creator>水舟</dc:creator>
  <cp:lastModifiedBy>水舟</cp:lastModifiedBy>
  <dcterms:modified xsi:type="dcterms:W3CDTF">2021-12-13T02:55:37Z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CF0C03442A304A7E84D9E836771F9257</vt:lpwstr>
  </property>
</Properties>
</file>