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CellSpacing w:w="0" w:type="dxa"/>
        <w:tblInd w:w="1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17" w:hRule="atLeast"/>
          <w:tblCellSpacing w:w="0" w:type="dxa"/>
        </w:trPr>
        <w:tc>
          <w:tcPr>
            <w:tcW w:w="8306" w:type="dxa"/>
            <w:noWrap w:val="0"/>
            <w:tcMar>
              <w:left w:w="300" w:type="dxa"/>
              <w:right w:w="300" w:type="dxa"/>
            </w:tcMar>
            <w:vAlign w:val="center"/>
          </w:tcPr>
          <w:p>
            <w:pPr>
              <w:rPr>
                <w:lang w:val="en-US" w:eastAsia="zh-CN"/>
              </w:rPr>
            </w:pPr>
            <w:r>
              <w:rPr>
                <w:rFonts w:hint="eastAsia"/>
                <w:lang w:val="en-US" w:eastAsia="zh-CN"/>
              </w:rPr>
              <w:t xml:space="preserve"> </w:t>
            </w:r>
            <w:r>
              <w:rPr>
                <w:lang w:val="en-US" w:eastAsia="zh-CN"/>
              </w:rPr>
              <w:pict>
                <v:shape id="_x0000_i1025" o:spt="136" type="#_x0000_t136" style="height:142.7pt;width:291.45pt;" fillcolor="#FF0000" filled="t" stroked="t" coordsize="21600,21600" adj="10800">
                  <v:path/>
                  <v:fill on="t" color2="#FFFFFF" focussize="0,0"/>
                  <v:stroke weight="2pt" color="#FF0000"/>
                  <v:imagedata o:title=""/>
                  <o:lock v:ext="edit" aspectratio="f"/>
                  <v:textpath on="t" fitshape="t" fitpath="t" trim="t" xscale="f" string="范县农业机械技术中心&#10;范  县  财  政  局" style="font-family:宋体;font-size:36pt;v-text-align:center;"/>
                  <w10:wrap type="none"/>
                  <w10:anchorlock/>
                </v:shape>
              </w:pict>
            </w:r>
            <w:r>
              <mc:AlternateContent>
                <mc:Choice Requires="wps">
                  <w:drawing>
                    <wp:anchor distT="0" distB="0" distL="114300" distR="114300" simplePos="0" relativeHeight="251659264" behindDoc="0" locked="0" layoutInCell="1" allowOverlap="1">
                      <wp:simplePos x="0" y="0"/>
                      <wp:positionH relativeFrom="column">
                        <wp:posOffset>4037965</wp:posOffset>
                      </wp:positionH>
                      <wp:positionV relativeFrom="paragraph">
                        <wp:posOffset>64135</wp:posOffset>
                      </wp:positionV>
                      <wp:extent cx="1590040" cy="1887220"/>
                      <wp:effectExtent l="4445" t="4445" r="5715" b="13335"/>
                      <wp:wrapNone/>
                      <wp:docPr id="1" name="文本框 1"/>
                      <wp:cNvGraphicFramePr/>
                      <a:graphic xmlns:a="http://schemas.openxmlformats.org/drawingml/2006/main">
                        <a:graphicData uri="http://schemas.microsoft.com/office/word/2010/wordprocessingShape">
                          <wps:wsp>
                            <wps:cNvSpPr txBox="1"/>
                            <wps:spPr>
                              <a:xfrm>
                                <a:off x="0" y="0"/>
                                <a:ext cx="1590040" cy="188722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ind w:left="0"/>
                                    <w:rPr>
                                      <w:rFonts w:hint="eastAsia"/>
                                      <w:lang w:eastAsia="zh-CN"/>
                                    </w:rPr>
                                  </w:pPr>
                                  <w:r>
                                    <w:rPr>
                                      <w:rFonts w:hint="eastAsia"/>
                                      <w:lang w:eastAsia="zh-CN"/>
                                    </w:rPr>
                                    <w:pict>
                                      <v:shape id="_x0000_i1026" o:spt="136" type="#_x0000_t136" style="height:120.05pt;width:93pt;" fillcolor="#FF0000" filled="t" stroked="t" coordsize="21600,21600" adj="10800">
                                        <v:path/>
                                        <v:fill on="t" focussize="0,0"/>
                                        <v:stroke weight="2pt" color="#FF0000"/>
                                        <v:imagedata o:title=""/>
                                        <o:lock v:ext="edit" grouping="f" rotation="f" text="f" aspectratio="f"/>
                                        <v:textpath on="t" fitshape="t" fitpath="t" trim="t" xscale="f" string="文件" style="font-family:宋体;font-size:36pt;v-text-align:center;"/>
                                        <w10:wrap type="none"/>
                                        <w10:anchorlock/>
                                      </v:shape>
                                    </w:pict>
                                  </w:r>
                                </w:p>
                              </w:txbxContent>
                            </wps:txbx>
                            <wps:bodyPr upright="1"/>
                          </wps:wsp>
                        </a:graphicData>
                      </a:graphic>
                    </wp:anchor>
                  </w:drawing>
                </mc:Choice>
                <mc:Fallback>
                  <w:pict>
                    <v:shape id="_x0000_s1026" o:spid="_x0000_s1026" o:spt="202" type="#_x0000_t202" style="position:absolute;left:0pt;margin-left:317.95pt;margin-top:5.05pt;height:148.6pt;width:125.2pt;z-index:251659264;mso-width-relative:page;mso-height-relative:page;" fillcolor="#FFFFFF" filled="t" stroked="t" coordsize="21600,21600" o:gfxdata="UEsDBAoAAAAAAIdO4kAAAAAAAAAAAAAAAAAEAAAAZHJzL1BLAwQUAAAACACHTuJAFjZ7p9gAAAAK&#10;AQAADwAAAGRycy9kb3ducmV2LnhtbE2PQU+DQBCF7yb+h82YeDHtLhCRIktjGo3nVi/etjAFIjsL&#10;7La0/nrHkz1O3pf3vinWZ9uLE06+c6QhWioQSJWrO2o0fH68LTIQPhiqTe8INVzQw7q8vSlMXruZ&#10;tnjahUZwCfncaGhDGHIpfdWiNX7pBiTODm6yJvA5NbKezMzltpexUqm0piNeaM2Amxar793RanDz&#10;68U6HFX88PVj3zcv4/YQj1rf30XqGUTAc/iH4U+f1aFkp707Uu1FryFNHleMcqAiEAxkWZqA2GtI&#10;1FMCsizk9QvlL1BLAwQUAAAACACHTuJA2rhgeAgCAAA3BAAADgAAAGRycy9lMm9Eb2MueG1srVPN&#10;jtMwEL4j8Q6W7zRpRKEbNV0JSrkgQFp4ANd2Ekv+k8dt0heAN+DEhTvP1efYsVO67HLpgRycsWf8&#10;zXzfjFe3o9HkIAMoZxs6n5WUSMudULZr6Ncv2xdLSiAyK5h2Vjb0KIHerp8/Ww2+lpXrnRYyEASx&#10;UA++oX2Mvi4K4L00DGbOS4vO1gXDIm5DV4jABkQ3uqjK8lUxuCB8cFwC4OlmctIzYrgG0LWt4nLj&#10;+N5IGyfUIDWLSAl65YGuc7VtK3n81LYgI9ENRaYxr5gE7V1ai/WK1V1gvlf8XAK7poQnnAxTFpNe&#10;oDYsMrIP6h8oo3hw4No4484UE5GsCLKYl0+0ueuZl5kLSg3+Ijr8P1j+8fA5ECVwEiixzGDDTz++&#10;n37+Pv36RuZJnsFDjVF3HuPi+MaNKfR8DniYWI9tMOmPfAj6UdzjRVw5RsLTpcVNWb5EF0fffLl8&#10;XVVZ/uLhug8Q30tnSDIaGrB7WVR2+AARU2Lon5CUDZxWYqu0zpvQ7d7qQA4MO73NX6oSrzwK05YM&#10;Db1ZVAsshOH4tjg2aBqPEoDtcr5HN+A64FTYhkE/FZARpuEyKsqAlbC6l0y8s4LEo0eZLb4umoox&#10;UlCiJT7GZOXIyJS+JhLZaYskU4+mXiQrjrsRYZK5c+KIfdv7oLoeJc2dy+E4T1md8+yngf17n0Ef&#10;3vv6H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Y2e6fYAAAACgEAAA8AAAAAAAAAAQAgAAAAIgAA&#10;AGRycy9kb3ducmV2LnhtbFBLAQIUABQAAAAIAIdO4kDauGB4CAIAADcEAAAOAAAAAAAAAAEAIAAA&#10;ACcBAABkcnMvZTJvRG9jLnhtbFBLBQYAAAAABgAGAFkBAAChBQAAAAA=&#10;">
                      <v:fill on="t" focussize="0,0"/>
                      <v:stroke color="#FFFFFF" joinstyle="miter"/>
                      <v:imagedata o:title=""/>
                      <o:lock v:ext="edit" aspectratio="f"/>
                      <v:textbox>
                        <w:txbxContent>
                          <w:p>
                            <w:pPr>
                              <w:ind w:left="0"/>
                              <w:rPr>
                                <w:rFonts w:hint="eastAsia"/>
                                <w:lang w:eastAsia="zh-CN"/>
                              </w:rPr>
                            </w:pPr>
                            <w:r>
                              <w:rPr>
                                <w:rFonts w:hint="eastAsia"/>
                                <w:lang w:eastAsia="zh-CN"/>
                              </w:rPr>
                              <w:pict>
                                <v:shape id="_x0000_i1026" o:spt="136" type="#_x0000_t136" style="height:120.05pt;width:93pt;" fillcolor="#FF0000" filled="t" stroked="t" coordsize="21600,21600" adj="10800">
                                  <v:path/>
                                  <v:fill on="t" focussize="0,0"/>
                                  <v:stroke weight="2pt" color="#FF0000"/>
                                  <v:imagedata o:title=""/>
                                  <o:lock v:ext="edit" grouping="f" rotation="f" text="f" aspectratio="f"/>
                                  <v:textpath on="t" fitshape="t" fitpath="t" trim="t" xscale="f" string="文件" style="font-family:宋体;font-size:36pt;v-text-align:center;"/>
                                  <w10:wrap type="none"/>
                                  <w10:anchorlock/>
                                </v:shape>
                              </w:pict>
                            </w:r>
                          </w:p>
                        </w:txbxContent>
                      </v:textbox>
                    </v:shape>
                  </w:pict>
                </mc:Fallback>
              </mc:AlternateContent>
            </w:r>
          </w:p>
          <w:p>
            <w:pPr>
              <w:rPr>
                <w:lang w:val="en-US" w:eastAsia="zh-CN"/>
              </w:rPr>
            </w:pPr>
          </w:p>
          <w:p>
            <w:pPr>
              <w:tabs>
                <w:tab w:val="left" w:pos="6061"/>
              </w:tabs>
              <w:snapToGrid w:val="0"/>
              <w:spacing w:line="0" w:lineRule="atLeast"/>
              <w:ind w:left="0"/>
              <w:jc w:val="center"/>
              <w:textAlignment w:val="auto"/>
              <w:rPr>
                <w:rFonts w:hint="eastAsia" w:ascii="楷体" w:hAnsi="楷体" w:eastAsia="楷体" w:cs="楷体"/>
                <w:sz w:val="32"/>
                <w:szCs w:val="32"/>
                <w:lang w:val="en-US" w:eastAsia="zh-CN"/>
              </w:rPr>
            </w:pPr>
          </w:p>
          <w:p>
            <w:pPr>
              <w:tabs>
                <w:tab w:val="left" w:pos="6061"/>
              </w:tabs>
              <w:snapToGrid w:val="0"/>
              <w:spacing w:line="0" w:lineRule="atLeast"/>
              <w:ind w:left="0"/>
              <w:jc w:val="center"/>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范农机字〔2021〕 27 号</w:t>
            </w:r>
          </w:p>
          <w:p>
            <w:pPr>
              <w:tabs>
                <w:tab w:val="left" w:pos="6061"/>
              </w:tabs>
              <w:snapToGrid w:val="0"/>
              <w:spacing w:line="0" w:lineRule="atLeast"/>
              <w:ind w:left="0"/>
              <w:jc w:val="left"/>
              <w:textAlignment w:val="auto"/>
              <w:rPr>
                <w:rFonts w:hint="eastAsia" w:ascii="仿宋" w:hAnsi="仿宋" w:eastAsia="仿宋"/>
                <w:snapToGrid/>
                <w:color w:val="auto"/>
                <w:sz w:val="32"/>
                <w:lang w:val="en-US" w:eastAsia="zh-CN"/>
              </w:rPr>
            </w:pPr>
            <w:r>
              <w:rPr>
                <w:rFonts w:hint="eastAsia"/>
                <w:b/>
                <w:bCs/>
                <w:color w:val="FF0000"/>
                <w:sz w:val="48"/>
                <w:szCs w:val="48"/>
                <w:u w:val="single"/>
                <w:lang w:val="en-US" w:eastAsia="zh-CN"/>
              </w:rPr>
              <w:t xml:space="preserve">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383" w:lineRule="atLeast"/>
        <w:ind w:left="0" w:right="0" w:firstLine="0"/>
        <w:jc w:val="center"/>
        <w:rPr>
          <w:rFonts w:hint="eastAsia" w:ascii="宋体" w:hAnsi="宋体" w:eastAsia="宋体" w:cs="宋体"/>
          <w:b w:val="0"/>
          <w:bCs w:val="0"/>
          <w:i w:val="0"/>
          <w:iCs w:val="0"/>
          <w:caps w:val="0"/>
          <w:color w:val="000000"/>
          <w:spacing w:val="8"/>
          <w:sz w:val="48"/>
          <w:szCs w:val="48"/>
          <w:shd w:val="clear" w:fill="FFFFFF"/>
          <w:lang w:eastAsia="zh-CN"/>
        </w:rPr>
      </w:pPr>
      <w:r>
        <w:rPr>
          <w:rFonts w:hint="eastAsia" w:ascii="宋体" w:hAnsi="宋体" w:eastAsia="宋体" w:cs="宋体"/>
          <w:b w:val="0"/>
          <w:bCs w:val="0"/>
          <w:i w:val="0"/>
          <w:iCs w:val="0"/>
          <w:caps w:val="0"/>
          <w:color w:val="000000"/>
          <w:spacing w:val="8"/>
          <w:sz w:val="48"/>
          <w:szCs w:val="48"/>
          <w:shd w:val="clear" w:fill="FFFFFF"/>
          <w:lang w:eastAsia="zh-CN"/>
        </w:rPr>
        <w:t>范</w:t>
      </w:r>
      <w:r>
        <w:rPr>
          <w:rFonts w:hint="eastAsia" w:ascii="宋体" w:hAnsi="宋体" w:eastAsia="宋体" w:cs="宋体"/>
          <w:b w:val="0"/>
          <w:bCs w:val="0"/>
          <w:i w:val="0"/>
          <w:iCs w:val="0"/>
          <w:caps w:val="0"/>
          <w:color w:val="000000"/>
          <w:spacing w:val="8"/>
          <w:sz w:val="48"/>
          <w:szCs w:val="48"/>
          <w:shd w:val="clear" w:fill="FFFFFF"/>
          <w:lang w:val="en-US" w:eastAsia="zh-CN"/>
        </w:rPr>
        <w:t xml:space="preserve">    </w:t>
      </w:r>
      <w:r>
        <w:rPr>
          <w:rFonts w:hint="eastAsia" w:ascii="宋体" w:hAnsi="宋体" w:eastAsia="宋体" w:cs="宋体"/>
          <w:b w:val="0"/>
          <w:bCs w:val="0"/>
          <w:i w:val="0"/>
          <w:iCs w:val="0"/>
          <w:caps w:val="0"/>
          <w:color w:val="000000"/>
          <w:spacing w:val="8"/>
          <w:sz w:val="48"/>
          <w:szCs w:val="48"/>
          <w:shd w:val="clear" w:fill="FFFFFF"/>
          <w:lang w:eastAsia="zh-CN"/>
        </w:rPr>
        <w:t>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383" w:lineRule="atLeast"/>
        <w:ind w:left="0" w:right="0" w:firstLine="0"/>
        <w:jc w:val="center"/>
        <w:rPr>
          <w:rFonts w:hint="eastAsia" w:ascii="宋体" w:hAnsi="宋体" w:eastAsia="宋体" w:cs="宋体"/>
          <w:b w:val="0"/>
          <w:bCs w:val="0"/>
          <w:i w:val="0"/>
          <w:iCs w:val="0"/>
          <w:caps w:val="0"/>
          <w:color w:val="000000"/>
          <w:spacing w:val="8"/>
          <w:sz w:val="48"/>
          <w:szCs w:val="48"/>
          <w:shd w:val="clear" w:fill="FFFFFF"/>
          <w:lang w:val="en-US" w:eastAsia="zh-CN"/>
        </w:rPr>
      </w:pPr>
      <w:r>
        <w:rPr>
          <w:rFonts w:hint="eastAsia" w:ascii="宋体" w:hAnsi="宋体" w:eastAsia="宋体" w:cs="宋体"/>
          <w:b w:val="0"/>
          <w:bCs w:val="0"/>
          <w:i w:val="0"/>
          <w:iCs w:val="0"/>
          <w:caps w:val="0"/>
          <w:color w:val="000000"/>
          <w:spacing w:val="8"/>
          <w:sz w:val="48"/>
          <w:szCs w:val="48"/>
          <w:shd w:val="clear" w:fill="FFFFFF"/>
          <w:lang w:val="en-US" w:eastAsia="zh-CN"/>
        </w:rPr>
        <w:t>2021-2023年农机购置补贴实施方案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15" w:lineRule="auto"/>
        <w:ind w:left="0" w:right="0" w:firstLine="640" w:firstLineChars="200"/>
        <w:jc w:val="both"/>
        <w:textAlignment w:val="auto"/>
        <w:rPr>
          <w:rFonts w:hint="eastAsia" w:ascii="宋体" w:hAnsi="宋体" w:eastAsia="宋体" w:cs="宋体"/>
          <w:b w:val="0"/>
          <w:bCs w:val="0"/>
          <w:i w:val="0"/>
          <w:iCs w:val="0"/>
          <w:caps w:val="0"/>
          <w:color w:val="000000"/>
          <w:spacing w:val="8"/>
          <w:sz w:val="32"/>
          <w:szCs w:val="32"/>
          <w:shd w:val="clear" w:fill="FFFFFF"/>
          <w:lang w:eastAsia="zh-CN"/>
        </w:rPr>
      </w:pPr>
      <w:r>
        <w:rPr>
          <w:rFonts w:hint="eastAsia" w:ascii="仿宋_GB2312" w:hAnsi="仿宋_GB2312" w:eastAsia="仿宋_GB2312" w:cs="仿宋_GB2312"/>
          <w:b w:val="0"/>
          <w:i w:val="0"/>
          <w:snapToGrid/>
          <w:color w:val="000000"/>
          <w:sz w:val="32"/>
          <w:szCs w:val="32"/>
          <w:lang w:eastAsia="zh-CN"/>
        </w:rPr>
        <w:t>为切实做好农机购置补贴实施工作，调动农民购买和使用农机的积极性，改善农民生产条件，提升农机作业水平。根据《河南省2021—2023年农机购置补贴实施指导意见》豫农文</w:t>
      </w:r>
      <w:r>
        <w:rPr>
          <w:rFonts w:hint="eastAsia" w:ascii="仿宋" w:hAnsi="仿宋" w:eastAsia="仿宋" w:cs="宋体"/>
          <w:color w:val="333333"/>
          <w:kern w:val="0"/>
          <w:sz w:val="32"/>
          <w:szCs w:val="32"/>
        </w:rPr>
        <w:t>〔2021〕</w:t>
      </w:r>
      <w:r>
        <w:rPr>
          <w:rFonts w:hint="eastAsia" w:ascii="仿宋" w:hAnsi="仿宋" w:eastAsia="仿宋" w:cs="宋体"/>
          <w:color w:val="333333"/>
          <w:kern w:val="0"/>
          <w:sz w:val="32"/>
          <w:szCs w:val="32"/>
          <w:lang w:val="en-US" w:eastAsia="zh-CN"/>
        </w:rPr>
        <w:t>185号要求</w:t>
      </w:r>
      <w:r>
        <w:rPr>
          <w:rFonts w:hint="eastAsia" w:ascii="仿宋_GB2312" w:hAnsi="仿宋_GB2312" w:eastAsia="仿宋_GB2312" w:cs="仿宋_GB2312"/>
          <w:b w:val="0"/>
          <w:i w:val="0"/>
          <w:snapToGrid/>
          <w:color w:val="000000"/>
          <w:sz w:val="32"/>
          <w:szCs w:val="32"/>
          <w:lang w:val="en-US" w:eastAsia="zh-CN"/>
        </w:rPr>
        <w:t>,</w:t>
      </w:r>
      <w:r>
        <w:rPr>
          <w:rFonts w:hint="eastAsia" w:ascii="仿宋_GB2312" w:hAnsi="仿宋_GB2312" w:eastAsia="仿宋_GB2312" w:cs="仿宋_GB2312"/>
          <w:b w:val="0"/>
          <w:i w:val="0"/>
          <w:snapToGrid/>
          <w:color w:val="000000"/>
          <w:sz w:val="32"/>
          <w:szCs w:val="32"/>
          <w:lang w:eastAsia="zh-CN"/>
        </w:rPr>
        <w:t>结合我县实际，制定本方案</w:t>
      </w:r>
      <w:r>
        <w:rPr>
          <w:rFonts w:hint="eastAsia" w:ascii="宋体" w:hAnsi="宋体" w:eastAsia="宋体" w:cs="宋体"/>
          <w:b w:val="0"/>
          <w:bCs w:val="0"/>
          <w:i w:val="0"/>
          <w:iCs w:val="0"/>
          <w:caps w:val="0"/>
          <w:color w:val="000000"/>
          <w:spacing w:val="8"/>
          <w:sz w:val="32"/>
          <w:szCs w:val="32"/>
          <w:shd w:val="clear" w:fill="FFFFFF"/>
          <w:lang w:eastAsia="zh-CN"/>
        </w:rPr>
        <w:t>。</w:t>
      </w:r>
    </w:p>
    <w:p>
      <w:pPr>
        <w:numPr>
          <w:ilvl w:val="0"/>
          <w:numId w:val="1"/>
        </w:numPr>
        <w:rPr>
          <w:rFonts w:hint="eastAsia" w:ascii="宋体" w:hAnsi="宋体" w:eastAsia="宋体" w:cs="宋体"/>
          <w:b/>
          <w:bCs/>
          <w:sz w:val="32"/>
          <w:szCs w:val="32"/>
        </w:rPr>
      </w:pPr>
      <w:r>
        <w:rPr>
          <w:rFonts w:hint="eastAsia" w:ascii="宋体" w:hAnsi="宋体" w:eastAsia="宋体" w:cs="宋体"/>
          <w:b/>
          <w:bCs/>
          <w:sz w:val="32"/>
          <w:szCs w:val="32"/>
        </w:rPr>
        <w:t>指导思想</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sz w:val="32"/>
          <w:szCs w:val="32"/>
        </w:rPr>
      </w:pPr>
      <w:r>
        <w:rPr>
          <w:rFonts w:hint="eastAsia" w:ascii="仿宋" w:hAnsi="仿宋" w:eastAsia="仿宋" w:cs="仿宋_GB2312"/>
          <w:color w:val="000000"/>
          <w:sz w:val="32"/>
          <w:szCs w:val="32"/>
        </w:rPr>
        <w:t>坚持以习近平新时代中国特色社会主义思想为指导，</w:t>
      </w:r>
      <w:r>
        <w:rPr>
          <w:rFonts w:hint="eastAsia" w:ascii="仿宋" w:hAnsi="仿宋" w:eastAsia="仿宋"/>
          <w:sz w:val="32"/>
          <w:szCs w:val="32"/>
        </w:rPr>
        <w:t>贯彻落实《中共河南省委 河南省人民政府关于推进乡村振兴战略的实施意见》和《</w:t>
      </w:r>
      <w:r>
        <w:rPr>
          <w:rFonts w:hint="eastAsia" w:ascii="仿宋" w:hAnsi="仿宋" w:eastAsia="仿宋"/>
          <w:kern w:val="36"/>
          <w:sz w:val="32"/>
          <w:szCs w:val="32"/>
        </w:rPr>
        <w:t>河南省人民政府办公厅关于加快推进农业机械化和农机装备产业高质量发展的意见</w:t>
      </w:r>
      <w:r>
        <w:rPr>
          <w:rFonts w:hint="eastAsia" w:ascii="仿宋" w:hAnsi="仿宋" w:eastAsia="仿宋"/>
          <w:sz w:val="32"/>
          <w:szCs w:val="32"/>
        </w:rPr>
        <w:t>》，</w:t>
      </w:r>
      <w:r>
        <w:rPr>
          <w:rFonts w:hint="eastAsia" w:ascii="仿宋" w:hAnsi="仿宋" w:eastAsia="仿宋"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keepNext w:val="0"/>
        <w:keepLines w:val="0"/>
        <w:pageBreakBefore w:val="0"/>
        <w:widowControl w:val="0"/>
        <w:kinsoku/>
        <w:wordWrap/>
        <w:overflowPunct/>
        <w:topLinePunct w:val="0"/>
        <w:autoSpaceDE/>
        <w:autoSpaceDN/>
        <w:bidi w:val="0"/>
        <w:spacing w:line="480" w:lineRule="auto"/>
        <w:textAlignment w:val="auto"/>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二、补贴对象和补贴标准 </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农机购置补贴实行定额补贴，即同一种类、同一档次农业机械原则上在省域内实行统一的补贴标准，具体补贴标准按《河南省2021-2023年农机购置补贴机具补贴额一览表》执行。</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在政策实施过程中，具体产品或具体档次的中央财政资金实际补贴比例在30%上下一定范围内浮动符合政策规定。</w:t>
      </w:r>
    </w:p>
    <w:p>
      <w:pPr>
        <w:keepNext w:val="0"/>
        <w:keepLines w:val="0"/>
        <w:pageBreakBefore w:val="0"/>
        <w:widowControl w:val="0"/>
        <w:kinsoku/>
        <w:wordWrap/>
        <w:overflowPunct/>
        <w:topLinePunct w:val="0"/>
        <w:autoSpaceDE/>
        <w:autoSpaceDN/>
        <w:bidi w:val="0"/>
        <w:spacing w:line="480" w:lineRule="auto"/>
        <w:textAlignment w:val="auto"/>
        <w:rPr>
          <w:rFonts w:hint="eastAsia" w:ascii="仿宋" w:hAnsi="仿宋" w:eastAsia="仿宋"/>
          <w:sz w:val="32"/>
          <w:szCs w:val="32"/>
        </w:rPr>
      </w:pPr>
      <w:r>
        <w:rPr>
          <w:rFonts w:hint="eastAsia" w:ascii="宋体" w:hAnsi="宋体" w:eastAsia="宋体" w:cs="宋体"/>
          <w:b/>
          <w:bCs/>
          <w:sz w:val="32"/>
          <w:szCs w:val="32"/>
          <w:lang w:eastAsia="zh-CN"/>
        </w:rPr>
        <w:t>三、补贴范围和补贴机具</w:t>
      </w:r>
    </w:p>
    <w:p>
      <w:pPr>
        <w:keepNext w:val="0"/>
        <w:keepLines w:val="0"/>
        <w:pageBreakBefore w:val="0"/>
        <w:widowControl w:val="0"/>
        <w:kinsoku/>
        <w:wordWrap/>
        <w:overflowPunct/>
        <w:topLinePunct w:val="0"/>
        <w:autoSpaceDE/>
        <w:autoSpaceDN/>
        <w:bidi w:val="0"/>
        <w:spacing w:line="480" w:lineRule="auto"/>
        <w:ind w:firstLine="640" w:firstLineChars="200"/>
        <w:textAlignment w:val="auto"/>
        <w:rPr>
          <w:rFonts w:hint="eastAsia" w:ascii="仿宋" w:hAnsi="仿宋" w:eastAsia="仿宋"/>
          <w:sz w:val="32"/>
          <w:szCs w:val="32"/>
        </w:rPr>
      </w:pPr>
      <w:r>
        <w:rPr>
          <w:rFonts w:hint="eastAsia" w:ascii="仿宋" w:hAnsi="仿宋" w:eastAsia="仿宋"/>
          <w:sz w:val="32"/>
          <w:szCs w:val="32"/>
          <w:lang w:eastAsia="zh-CN"/>
        </w:rPr>
        <w:t>按照省在中央财政补贴范围内</w:t>
      </w:r>
      <w:r>
        <w:rPr>
          <w:rFonts w:hint="eastAsia" w:ascii="仿宋" w:hAnsi="仿宋" w:eastAsia="仿宋"/>
          <w:sz w:val="32"/>
          <w:szCs w:val="32"/>
        </w:rPr>
        <w:t>选择15大类44个小类17</w:t>
      </w:r>
      <w:r>
        <w:rPr>
          <w:rFonts w:hint="eastAsia" w:ascii="仿宋" w:hAnsi="仿宋" w:eastAsia="仿宋"/>
          <w:sz w:val="32"/>
          <w:szCs w:val="32"/>
          <w:lang w:val="en-US" w:eastAsia="zh-CN"/>
        </w:rPr>
        <w:t>0</w:t>
      </w:r>
      <w:r>
        <w:rPr>
          <w:rFonts w:hint="eastAsia" w:ascii="仿宋" w:hAnsi="仿宋" w:eastAsia="仿宋"/>
          <w:sz w:val="32"/>
          <w:szCs w:val="32"/>
        </w:rPr>
        <w:t>个品目机具列入我</w:t>
      </w:r>
      <w:r>
        <w:rPr>
          <w:rFonts w:hint="eastAsia" w:ascii="仿宋" w:hAnsi="仿宋" w:eastAsia="仿宋"/>
          <w:sz w:val="32"/>
          <w:szCs w:val="32"/>
          <w:lang w:eastAsia="zh-CN"/>
        </w:rPr>
        <w:t>县</w:t>
      </w:r>
      <w:r>
        <w:rPr>
          <w:rFonts w:hint="eastAsia" w:ascii="仿宋" w:hAnsi="仿宋" w:eastAsia="仿宋"/>
          <w:sz w:val="32"/>
          <w:szCs w:val="32"/>
        </w:rPr>
        <w:t>补贴范围（详见附件）。</w:t>
      </w:r>
    </w:p>
    <w:p>
      <w:pPr>
        <w:keepNext w:val="0"/>
        <w:keepLines w:val="0"/>
        <w:pageBreakBefore w:val="0"/>
        <w:widowControl w:val="0"/>
        <w:kinsoku/>
        <w:wordWrap/>
        <w:overflowPunct/>
        <w:topLinePunct w:val="0"/>
        <w:autoSpaceDE/>
        <w:autoSpaceDN/>
        <w:bidi w:val="0"/>
        <w:spacing w:line="480" w:lineRule="auto"/>
        <w:ind w:firstLine="640" w:firstLineChars="200"/>
        <w:textAlignment w:val="auto"/>
        <w:rPr>
          <w:rFonts w:hint="eastAsia" w:ascii="仿宋" w:hAnsi="仿宋" w:eastAsia="仿宋" w:cs="宋体"/>
          <w:kern w:val="0"/>
          <w:sz w:val="32"/>
          <w:szCs w:val="32"/>
        </w:rPr>
      </w:pPr>
      <w:r>
        <w:rPr>
          <w:rFonts w:hint="eastAsia" w:ascii="仿宋" w:hAnsi="仿宋" w:eastAsia="仿宋" w:cs="宋体"/>
          <w:kern w:val="0"/>
          <w:sz w:val="32"/>
          <w:szCs w:val="32"/>
        </w:rPr>
        <w:t>根据农业生产需要和资金供需实际，按照公开、公平、公正原则，实行补贴范围内机具敞开补贴。</w:t>
      </w:r>
    </w:p>
    <w:p>
      <w:pPr>
        <w:spacing w:line="360" w:lineRule="auto"/>
        <w:ind w:firstLine="640" w:firstLineChars="200"/>
        <w:rPr>
          <w:rFonts w:hint="eastAsia" w:ascii="宋体" w:hAnsi="宋体" w:eastAsia="宋体" w:cs="宋体"/>
          <w:b w:val="0"/>
          <w:bCs w:val="0"/>
          <w:i w:val="0"/>
          <w:iCs w:val="0"/>
          <w:caps w:val="0"/>
          <w:color w:val="333333"/>
          <w:spacing w:val="8"/>
          <w:sz w:val="32"/>
          <w:szCs w:val="32"/>
        </w:rPr>
      </w:pPr>
      <w:r>
        <w:rPr>
          <w:rFonts w:hint="eastAsia" w:ascii="仿宋" w:hAnsi="仿宋" w:eastAsia="仿宋" w:cs="仿宋_GB2312"/>
          <w:sz w:val="32"/>
          <w:szCs w:val="32"/>
        </w:rPr>
        <w:t>补贴机具必须是补贴范围内的产品（农机专项鉴定产品、农机新产品除外），同时还应具备以下资质之一：（1）获得农业机械</w:t>
      </w:r>
      <w:r>
        <w:rPr>
          <w:rFonts w:ascii="仿宋" w:hAnsi="仿宋" w:eastAsia="仿宋" w:cs="仿宋_GB2312"/>
          <w:sz w:val="32"/>
          <w:szCs w:val="32"/>
        </w:rPr>
        <w:t>试验</w:t>
      </w:r>
      <w:r>
        <w:rPr>
          <w:rFonts w:hint="eastAsia" w:ascii="仿宋" w:hAnsi="仿宋" w:eastAsia="仿宋" w:cs="仿宋_GB2312"/>
          <w:sz w:val="32"/>
          <w:szCs w:val="32"/>
        </w:rPr>
        <w:t>鉴定证书</w:t>
      </w:r>
      <w:r>
        <w:rPr>
          <w:rFonts w:ascii="仿宋" w:hAnsi="仿宋" w:eastAsia="仿宋" w:cs="仿宋_GB2312"/>
          <w:sz w:val="32"/>
          <w:szCs w:val="32"/>
        </w:rPr>
        <w:t>（包括尚在有效期内的农业机械推广鉴定证书）</w:t>
      </w:r>
      <w:r>
        <w:rPr>
          <w:rFonts w:hint="eastAsia" w:ascii="仿宋" w:hAnsi="仿宋" w:eastAsia="仿宋" w:cs="仿宋_GB2312"/>
          <w:sz w:val="32"/>
          <w:szCs w:val="32"/>
        </w:rPr>
        <w:t>；（2）获得农机强制性产品认证证书；（3）列入农机自愿性认证采信试点范围，获得农机自愿性产品认证证书</w:t>
      </w:r>
      <w:r>
        <w:rPr>
          <w:rFonts w:ascii="仿宋" w:hAnsi="仿宋" w:eastAsia="仿宋" w:cs="仿宋_GB2312"/>
          <w:sz w:val="32"/>
          <w:szCs w:val="32"/>
        </w:rPr>
        <w:t>。</w:t>
      </w:r>
      <w:r>
        <w:rPr>
          <w:rFonts w:hint="eastAsia" w:ascii="仿宋" w:hAnsi="仿宋" w:eastAsia="仿宋" w:cs="仿宋_GB2312"/>
          <w:sz w:val="32"/>
          <w:szCs w:val="32"/>
        </w:rPr>
        <w:t>补贴机具须在明显位置固定标有生产企业、产品名称和型号、出厂编号、生产日期、执行标准等信息的铭牌。</w:t>
      </w:r>
    </w:p>
    <w:p>
      <w:pPr>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四、资金分配与使用 </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cs="仿宋"/>
          <w:bCs/>
          <w:sz w:val="32"/>
          <w:szCs w:val="32"/>
          <w:lang w:eastAsia="zh-CN"/>
        </w:rPr>
        <w:t>各有关部门根据职责分工</w:t>
      </w:r>
      <w:r>
        <w:rPr>
          <w:rFonts w:hint="eastAsia" w:ascii="仿宋" w:hAnsi="仿宋" w:eastAsia="仿宋" w:cs="仿宋"/>
          <w:bCs/>
          <w:sz w:val="32"/>
          <w:szCs w:val="32"/>
        </w:rPr>
        <w:t>加强资金监管，定期发布资金使用进度，强化区域内资金余缺动态调剂，避免出现资金大量结转。</w:t>
      </w:r>
      <w:r>
        <w:rPr>
          <w:rFonts w:hint="eastAsia" w:ascii="仿宋" w:hAnsi="仿宋" w:eastAsia="仿宋"/>
          <w:sz w:val="32"/>
          <w:szCs w:val="32"/>
        </w:rPr>
        <w:t>上年结转的农机购置补贴资金可继续在下年使用，连续两年未用完的结转资金，按有关规定处理。</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sz w:val="32"/>
          <w:szCs w:val="32"/>
        </w:rPr>
        <w:t>继续开展农机报废更新补贴工作。</w:t>
      </w:r>
      <w:r>
        <w:rPr>
          <w:rFonts w:hint="eastAsia" w:ascii="仿宋" w:hAnsi="仿宋" w:eastAsia="仿宋" w:cs="宋体"/>
          <w:color w:val="000000"/>
          <w:kern w:val="0"/>
          <w:sz w:val="32"/>
          <w:szCs w:val="32"/>
        </w:rPr>
        <w:t>加快淘汰耗能高、污染重、安全性能低的老旧农机具。</w:t>
      </w:r>
    </w:p>
    <w:p>
      <w:pPr>
        <w:adjustRightInd w:val="0"/>
        <w:snapToGrid w:val="0"/>
        <w:spacing w:line="360" w:lineRule="auto"/>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五、操作流程 </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与农机产销企业协商确定购机价格与支付方式，并对交易行为真实性、有效性和可能发生的纠纷承担法律责任。购机行为完成后，购机者自主向农机部门提出补贴资金申领事项，</w:t>
      </w:r>
      <w:r>
        <w:rPr>
          <w:rFonts w:ascii="仿宋" w:hAnsi="仿宋" w:eastAsia="仿宋" w:cs="仿宋_GB2312"/>
          <w:color w:val="000000"/>
          <w:sz w:val="32"/>
          <w:szCs w:val="32"/>
        </w:rPr>
        <w:t>签署承诺书，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农机购置补贴政策实施工作按以下流程操作。</w:t>
      </w:r>
    </w:p>
    <w:p>
      <w:pPr>
        <w:pStyle w:val="4"/>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s="楷体_GB2312"/>
          <w:color w:val="000000"/>
          <w:sz w:val="32"/>
          <w:szCs w:val="32"/>
        </w:rPr>
        <w:t>（一）发布实施规定。</w:t>
      </w:r>
      <w:r>
        <w:rPr>
          <w:rFonts w:hint="eastAsia" w:ascii="仿宋" w:hAnsi="仿宋" w:eastAsia="仿宋" w:cs="仿宋_GB2312"/>
          <w:color w:val="000000"/>
          <w:sz w:val="32"/>
          <w:szCs w:val="32"/>
        </w:rPr>
        <w:t>发布农机购置补贴实施方案、操作程序、补贴额一览表、补贴机具信息表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楷体_GB2312"/>
          <w:color w:val="000000"/>
          <w:sz w:val="32"/>
          <w:szCs w:val="32"/>
        </w:rPr>
        <w:t>（二）</w:t>
      </w:r>
      <w:r>
        <w:rPr>
          <w:rFonts w:ascii="仿宋" w:hAnsi="仿宋" w:eastAsia="仿宋" w:cs="楷体_GB2312"/>
          <w:color w:val="000000"/>
          <w:sz w:val="32"/>
          <w:szCs w:val="32"/>
        </w:rPr>
        <w:t>受理补贴申请</w:t>
      </w:r>
      <w:r>
        <w:rPr>
          <w:rFonts w:hint="eastAsia" w:ascii="仿宋" w:hAnsi="仿宋" w:eastAsia="仿宋" w:cs="楷体_GB2312"/>
          <w:color w:val="000000"/>
          <w:sz w:val="32"/>
          <w:szCs w:val="32"/>
        </w:rPr>
        <w:t>。</w:t>
      </w:r>
      <w:r>
        <w:rPr>
          <w:rFonts w:hint="eastAsia" w:ascii="仿宋" w:hAnsi="仿宋" w:eastAsia="仿宋" w:cs="仿宋_GB2312"/>
          <w:color w:val="000000"/>
          <w:sz w:val="32"/>
          <w:szCs w:val="32"/>
        </w:rPr>
        <w:t>全面</w:t>
      </w:r>
      <w:r>
        <w:rPr>
          <w:rFonts w:ascii="仿宋" w:hAnsi="仿宋" w:eastAsia="仿宋" w:cs="仿宋_GB2312"/>
          <w:color w:val="000000"/>
          <w:sz w:val="32"/>
          <w:szCs w:val="32"/>
        </w:rPr>
        <w:t>实行办理服务系统常年连续开放，推广使用带有人脸识别功能的手机App等信息化技术，方便购机者随时在线提交补贴申请</w:t>
      </w:r>
      <w:r>
        <w:rPr>
          <w:rFonts w:hint="eastAsia" w:ascii="仿宋" w:hAnsi="仿宋" w:eastAsia="仿宋" w:cs="仿宋_GB2312"/>
          <w:color w:val="000000"/>
          <w:sz w:val="32"/>
          <w:szCs w:val="32"/>
        </w:rPr>
        <w:t>、</w:t>
      </w:r>
      <w:r>
        <w:rPr>
          <w:rFonts w:ascii="仿宋" w:hAnsi="仿宋" w:eastAsia="仿宋" w:cs="仿宋_GB2312"/>
          <w:color w:val="000000"/>
          <w:sz w:val="32"/>
          <w:szCs w:val="32"/>
        </w:rPr>
        <w:t>应录尽录，加快实现购机者</w:t>
      </w:r>
      <w:r>
        <w:rPr>
          <w:rFonts w:hint="eastAsia" w:ascii="仿宋" w:hAnsi="仿宋" w:eastAsia="仿宋" w:cs="仿宋_GB2312"/>
          <w:color w:val="000000"/>
          <w:sz w:val="32"/>
          <w:szCs w:val="32"/>
        </w:rPr>
        <w:t>线下</w:t>
      </w:r>
      <w:r>
        <w:rPr>
          <w:rFonts w:ascii="仿宋" w:hAnsi="仿宋" w:eastAsia="仿宋" w:cs="仿宋_GB2312"/>
          <w:color w:val="000000"/>
          <w:sz w:val="32"/>
          <w:szCs w:val="32"/>
        </w:rPr>
        <w:t>申领补贴“最多跑一次”“最多跑一地”。</w:t>
      </w:r>
      <w:r>
        <w:rPr>
          <w:rFonts w:hint="eastAsia" w:ascii="仿宋" w:hAnsi="仿宋" w:eastAsia="仿宋" w:cs="仿宋_GB2312"/>
          <w:color w:val="000000"/>
          <w:sz w:val="32"/>
          <w:szCs w:val="32"/>
        </w:rPr>
        <w:t>农机购置补贴资金申请数量达到当年可用资金（含结转资金和调剂资金）总量110%的，应及时发布公告，停止受理补贴申请。</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楷体_GB2312"/>
          <w:color w:val="000000"/>
          <w:sz w:val="32"/>
          <w:szCs w:val="32"/>
        </w:rPr>
        <w:t>（三）</w:t>
      </w:r>
      <w:r>
        <w:rPr>
          <w:rFonts w:ascii="仿宋" w:hAnsi="仿宋" w:eastAsia="仿宋" w:cs="楷体_GB2312"/>
          <w:color w:val="000000"/>
          <w:sz w:val="32"/>
          <w:szCs w:val="32"/>
        </w:rPr>
        <w:t>审验公示信息</w:t>
      </w:r>
      <w:r>
        <w:rPr>
          <w:rFonts w:hint="eastAsia" w:ascii="仿宋" w:hAnsi="仿宋" w:eastAsia="仿宋" w:cs="楷体_GB2312"/>
          <w:color w:val="000000"/>
          <w:sz w:val="32"/>
          <w:szCs w:val="32"/>
        </w:rPr>
        <w:t>。</w:t>
      </w:r>
      <w:r>
        <w:rPr>
          <w:rFonts w:ascii="仿宋" w:hAnsi="仿宋" w:eastAsia="仿宋" w:cs="仿宋_GB2312"/>
          <w:color w:val="000000"/>
          <w:sz w:val="32"/>
          <w:szCs w:val="32"/>
        </w:rPr>
        <w:t>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后，应于2个工作日内做出是否受理的决定，对因资料不齐全等原因无法受理的，应注明原因，并按原渠道退回申请；对符合条件可以受理的，</w:t>
      </w:r>
      <w:r>
        <w:rPr>
          <w:rFonts w:hint="eastAsia" w:ascii="仿宋" w:hAnsi="仿宋" w:eastAsia="仿宋" w:cs="仿宋_GB2312"/>
          <w:color w:val="000000"/>
          <w:sz w:val="32"/>
          <w:szCs w:val="32"/>
        </w:rPr>
        <w:t>应于</w:t>
      </w:r>
      <w:r>
        <w:rPr>
          <w:rFonts w:ascii="仿宋" w:hAnsi="仿宋" w:eastAsia="仿宋" w:cs="仿宋_GB2312"/>
          <w:color w:val="000000"/>
          <w:sz w:val="32"/>
          <w:szCs w:val="32"/>
        </w:rPr>
        <w:t>1</w:t>
      </w:r>
      <w:r>
        <w:rPr>
          <w:rFonts w:hint="eastAsia" w:ascii="仿宋" w:hAnsi="仿宋" w:eastAsia="仿宋" w:cs="仿宋_GB2312"/>
          <w:color w:val="000000"/>
          <w:sz w:val="32"/>
          <w:szCs w:val="32"/>
        </w:rPr>
        <w:t>3个工作日内（不含公示时间）完成相关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eastAsia="zh-CN"/>
        </w:rPr>
        <w:t>在</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楷体_GB2312"/>
          <w:color w:val="000000"/>
          <w:sz w:val="32"/>
          <w:szCs w:val="32"/>
        </w:rPr>
        <w:t>（四）兑付</w:t>
      </w:r>
      <w:r>
        <w:rPr>
          <w:rFonts w:ascii="仿宋" w:hAnsi="仿宋" w:eastAsia="仿宋" w:cs="楷体_GB2312"/>
          <w:color w:val="000000"/>
          <w:sz w:val="32"/>
          <w:szCs w:val="32"/>
        </w:rPr>
        <w:t>补贴</w:t>
      </w:r>
      <w:r>
        <w:rPr>
          <w:rFonts w:hint="eastAsia" w:ascii="仿宋" w:hAnsi="仿宋" w:eastAsia="仿宋" w:cs="楷体_GB2312"/>
          <w:color w:val="000000"/>
          <w:sz w:val="32"/>
          <w:szCs w:val="32"/>
        </w:rPr>
        <w:t>资金。</w:t>
      </w:r>
      <w:r>
        <w:rPr>
          <w:rFonts w:ascii="仿宋" w:hAnsi="仿宋" w:eastAsia="仿宋" w:cs="仿宋_GB2312"/>
          <w:color w:val="000000"/>
          <w:sz w:val="32"/>
          <w:szCs w:val="32"/>
        </w:rPr>
        <w:t>县级</w:t>
      </w:r>
      <w:r>
        <w:rPr>
          <w:rFonts w:hint="eastAsia" w:ascii="仿宋" w:hAnsi="仿宋" w:eastAsia="仿宋" w:cs="仿宋_GB2312"/>
          <w:color w:val="000000"/>
          <w:sz w:val="32"/>
          <w:szCs w:val="32"/>
        </w:rPr>
        <w:t>财政部门</w:t>
      </w:r>
      <w:r>
        <w:rPr>
          <w:rFonts w:ascii="仿宋" w:hAnsi="仿宋" w:eastAsia="仿宋" w:cs="仿宋_GB2312"/>
          <w:color w:val="000000"/>
          <w:sz w:val="32"/>
          <w:szCs w:val="32"/>
        </w:rPr>
        <w:t>审核</w:t>
      </w:r>
      <w:r>
        <w:rPr>
          <w:rFonts w:hint="eastAsia" w:ascii="仿宋" w:hAnsi="仿宋" w:eastAsia="仿宋" w:cs="仿宋_GB2312"/>
          <w:color w:val="000000"/>
          <w:sz w:val="32"/>
          <w:szCs w:val="32"/>
        </w:rPr>
        <w:t>农机部门提</w:t>
      </w:r>
      <w:r>
        <w:rPr>
          <w:rFonts w:ascii="仿宋" w:hAnsi="仿宋" w:eastAsia="仿宋" w:cs="仿宋_GB2312"/>
          <w:color w:val="000000"/>
          <w:sz w:val="32"/>
          <w:szCs w:val="32"/>
        </w:rPr>
        <w:t>交</w:t>
      </w:r>
      <w:r>
        <w:rPr>
          <w:rFonts w:hint="eastAsia" w:ascii="仿宋" w:hAnsi="仿宋" w:eastAsia="仿宋" w:cs="仿宋_GB2312"/>
          <w:color w:val="000000"/>
          <w:sz w:val="32"/>
          <w:szCs w:val="32"/>
        </w:rPr>
        <w:t>的</w:t>
      </w:r>
      <w:r>
        <w:rPr>
          <w:rFonts w:ascii="仿宋" w:hAnsi="仿宋" w:eastAsia="仿宋" w:cs="仿宋_GB2312"/>
          <w:color w:val="000000"/>
          <w:sz w:val="32"/>
          <w:szCs w:val="32"/>
        </w:rPr>
        <w:t>资金兑付申请与有关</w:t>
      </w:r>
      <w:r>
        <w:rPr>
          <w:rFonts w:hint="eastAsia" w:ascii="仿宋" w:hAnsi="仿宋" w:eastAsia="仿宋" w:cs="仿宋_GB2312"/>
          <w:color w:val="000000"/>
          <w:sz w:val="32"/>
          <w:szCs w:val="32"/>
        </w:rPr>
        <w:t>材料，于15个工作日内通过国库集中支付方式向符合要求的购机者兑付资金</w:t>
      </w:r>
      <w:r>
        <w:rPr>
          <w:rFonts w:ascii="仿宋" w:hAnsi="仿宋" w:eastAsia="仿宋" w:cs="仿宋_GB2312"/>
          <w:color w:val="000000"/>
          <w:sz w:val="32"/>
          <w:szCs w:val="32"/>
        </w:rPr>
        <w:t>。</w:t>
      </w:r>
      <w:r>
        <w:rPr>
          <w:rFonts w:hint="eastAsia" w:ascii="仿宋" w:hAnsi="仿宋" w:eastAsia="仿宋" w:cs="仿宋_GB2312"/>
          <w:color w:val="000000"/>
          <w:sz w:val="32"/>
          <w:szCs w:val="32"/>
        </w:rPr>
        <w:t>严禁挤占挪用农机购置补贴资金。因资金不足或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不得以任何理由限制购机者提交补贴申请，且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w:t>
      </w:r>
      <w:r>
        <w:rPr>
          <w:rFonts w:hint="eastAsia" w:ascii="仿宋" w:hAnsi="仿宋" w:eastAsia="仿宋" w:cs="仿宋_GB2312"/>
          <w:color w:val="000000"/>
          <w:sz w:val="32"/>
          <w:szCs w:val="32"/>
          <w:lang w:eastAsia="zh-CN"/>
        </w:rPr>
        <w:t>农机购置</w:t>
      </w:r>
      <w:r>
        <w:rPr>
          <w:rFonts w:hint="eastAsia" w:ascii="仿宋" w:hAnsi="仿宋" w:eastAsia="仿宋" w:cs="仿宋_GB2312"/>
          <w:color w:val="000000"/>
          <w:sz w:val="32"/>
          <w:szCs w:val="32"/>
        </w:rPr>
        <w:t>补贴领导小组集体研究决定。</w:t>
      </w:r>
    </w:p>
    <w:p>
      <w:pPr>
        <w:adjustRightInd w:val="0"/>
        <w:snapToGrid w:val="0"/>
        <w:spacing w:line="360" w:lineRule="auto"/>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六、实施要求</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楷体"/>
          <w:color w:val="000000"/>
          <w:sz w:val="32"/>
          <w:szCs w:val="32"/>
        </w:rPr>
        <w:t>（一）加强领导，明确分工。</w:t>
      </w:r>
      <w:r>
        <w:rPr>
          <w:rFonts w:hint="eastAsia" w:ascii="仿宋" w:hAnsi="仿宋" w:eastAsia="仿宋" w:cs="仿宋_GB2312"/>
          <w:color w:val="000000"/>
          <w:sz w:val="32"/>
          <w:szCs w:val="32"/>
        </w:rPr>
        <w:t>切实加强组织协调，密切沟通配合，健全完善风险防控工作制度和内部控制规程，明确职责分工，形成工作合力。</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楷体"/>
          <w:color w:val="000000"/>
          <w:sz w:val="32"/>
          <w:szCs w:val="32"/>
        </w:rPr>
        <w:t>（二）优化服务，提升效能。</w:t>
      </w:r>
      <w:r>
        <w:rPr>
          <w:rFonts w:hint="eastAsia" w:ascii="仿宋" w:hAnsi="仿宋" w:eastAsia="仿宋" w:cs="仿宋_GB2312"/>
          <w:color w:val="000000"/>
          <w:sz w:val="32"/>
          <w:szCs w:val="32"/>
        </w:rPr>
        <w:t>切实加快补贴申请受理、资格审核、机具核验、资金兑付等工作。畅通产业链供应链，营造良好营商环境，保障市场主体合法权益，对经司法机关认定为恶意拖欠农机生产经销企业购机款的购机者，取消其享受补贴资格。</w:t>
      </w:r>
    </w:p>
    <w:p>
      <w:pPr>
        <w:pStyle w:val="4"/>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r>
        <w:rPr>
          <w:rFonts w:hint="eastAsia" w:ascii="仿宋" w:hAnsi="仿宋" w:eastAsia="仿宋" w:cs="楷体"/>
          <w:color w:val="000000"/>
          <w:sz w:val="32"/>
          <w:szCs w:val="32"/>
        </w:rPr>
        <w:t>（三）公开信息，接受监督。</w:t>
      </w:r>
      <w:r>
        <w:rPr>
          <w:rFonts w:hint="eastAsia" w:ascii="仿宋" w:hAnsi="仿宋" w:eastAsia="仿宋" w:cs="楷体"/>
          <w:color w:val="000000"/>
          <w:sz w:val="32"/>
          <w:szCs w:val="32"/>
          <w:lang w:eastAsia="zh-CN"/>
        </w:rPr>
        <w:t>利用农机购置补贴信息公开专栏、政务公开栏、发放宣传页等方式，</w:t>
      </w:r>
      <w:r>
        <w:rPr>
          <w:rFonts w:hint="eastAsia" w:ascii="仿宋" w:hAnsi="仿宋" w:eastAsia="仿宋" w:cs="仿宋_GB2312"/>
          <w:color w:val="000000"/>
          <w:sz w:val="32"/>
          <w:szCs w:val="32"/>
        </w:rPr>
        <w:t>全方位开展补贴政策与实施工作宣传解读，着力提升政策知晓率，切实保障购机者、生产经销企业和广大农民群众的知情权、监督权。健全完善农机购置补贴信息公开专栏，按年度公告近三年县域内补贴受益信息，公开违规查处结果等信息，主动接受社会监督。</w:t>
      </w:r>
    </w:p>
    <w:p>
      <w:pPr>
        <w:pStyle w:val="4"/>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r>
        <w:rPr>
          <w:rFonts w:hint="eastAsia" w:ascii="仿宋" w:hAnsi="仿宋" w:eastAsia="仿宋" w:cs="楷体"/>
          <w:color w:val="000000"/>
          <w:sz w:val="32"/>
          <w:szCs w:val="32"/>
        </w:rPr>
        <w:t>（四）加强监管，严惩违规。</w:t>
      </w:r>
      <w:r>
        <w:rPr>
          <w:rFonts w:hint="eastAsia" w:ascii="仿宋" w:hAnsi="仿宋" w:eastAsia="仿宋" w:cs="仿宋_GB2312"/>
          <w:color w:val="000000"/>
          <w:sz w:val="32"/>
          <w:szCs w:val="32"/>
        </w:rPr>
        <w:t>全面贯彻</w:t>
      </w:r>
      <w:r>
        <w:rPr>
          <w:rFonts w:hint="eastAsia" w:ascii="仿宋_GB2312" w:hAnsi="仿宋_GB2312" w:eastAsia="仿宋_GB2312" w:cs="仿宋_GB2312"/>
          <w:b w:val="0"/>
          <w:i w:val="0"/>
          <w:snapToGrid/>
          <w:color w:val="000000"/>
          <w:sz w:val="32"/>
          <w:szCs w:val="32"/>
          <w:lang w:eastAsia="zh-CN"/>
        </w:rPr>
        <w:t>《河南省2021—2023年农机购置补贴实施指导意见》豫农文</w:t>
      </w:r>
      <w:r>
        <w:rPr>
          <w:rFonts w:hint="eastAsia" w:ascii="仿宋" w:hAnsi="仿宋" w:eastAsia="仿宋" w:cs="宋体"/>
          <w:color w:val="333333"/>
          <w:kern w:val="0"/>
          <w:sz w:val="32"/>
          <w:szCs w:val="32"/>
        </w:rPr>
        <w:t>〔2021〕</w:t>
      </w:r>
      <w:r>
        <w:rPr>
          <w:rFonts w:hint="eastAsia" w:ascii="仿宋" w:hAnsi="仿宋" w:eastAsia="仿宋" w:cs="宋体"/>
          <w:color w:val="333333"/>
          <w:kern w:val="0"/>
          <w:sz w:val="32"/>
          <w:szCs w:val="32"/>
          <w:lang w:val="en-US" w:eastAsia="zh-CN"/>
        </w:rPr>
        <w:t xml:space="preserve"> 185号</w:t>
      </w:r>
      <w:r>
        <w:rPr>
          <w:rFonts w:hint="eastAsia" w:ascii="仿宋" w:hAnsi="仿宋" w:eastAsia="仿宋" w:cs="仿宋_GB2312"/>
          <w:color w:val="000000"/>
          <w:sz w:val="32"/>
          <w:szCs w:val="32"/>
        </w:rPr>
        <w:t>和</w:t>
      </w:r>
      <w:r>
        <w:rPr>
          <w:rFonts w:hint="eastAsia" w:ascii="仿宋" w:hAnsi="仿宋" w:eastAsia="仿宋"/>
          <w:bCs/>
          <w:color w:val="2B2B2B"/>
          <w:sz w:val="32"/>
          <w:szCs w:val="32"/>
        </w:rPr>
        <w:t>《河南省农业农村厅</w:t>
      </w:r>
      <w:r>
        <w:rPr>
          <w:rFonts w:hint="eastAsia" w:ascii="微软雅黑" w:hAnsi="微软雅黑" w:eastAsia="仿宋"/>
          <w:bCs/>
          <w:color w:val="2B2B2B"/>
          <w:sz w:val="32"/>
          <w:szCs w:val="32"/>
        </w:rPr>
        <w:t xml:space="preserve"> </w:t>
      </w:r>
      <w:r>
        <w:rPr>
          <w:rFonts w:hint="eastAsia" w:ascii="仿宋" w:hAnsi="仿宋" w:eastAsia="仿宋"/>
          <w:bCs/>
          <w:color w:val="2B2B2B"/>
          <w:sz w:val="32"/>
          <w:szCs w:val="32"/>
        </w:rPr>
        <w:t>河南省财政厅关于进一步加强相关惠农补贴政策监管强化纪律约束的通知》（</w:t>
      </w:r>
      <w:r>
        <w:rPr>
          <w:rFonts w:hint="eastAsia" w:ascii="仿宋" w:hAnsi="仿宋" w:eastAsia="仿宋"/>
          <w:color w:val="2B2B2B"/>
          <w:sz w:val="32"/>
          <w:szCs w:val="32"/>
        </w:rPr>
        <w:t>豫农财务</w:t>
      </w:r>
      <w:r>
        <w:rPr>
          <w:rFonts w:hint="eastAsia" w:ascii="仿宋" w:hAnsi="仿宋" w:eastAsia="仿宋"/>
          <w:sz w:val="32"/>
          <w:szCs w:val="32"/>
        </w:rPr>
        <w:t>〔2019〕</w:t>
      </w:r>
      <w:r>
        <w:rPr>
          <w:rFonts w:hint="eastAsia" w:ascii="仿宋" w:hAnsi="仿宋" w:eastAsia="仿宋"/>
          <w:color w:val="2B2B2B"/>
          <w:sz w:val="32"/>
          <w:szCs w:val="32"/>
        </w:rPr>
        <w:t>37号</w:t>
      </w:r>
      <w:r>
        <w:rPr>
          <w:rFonts w:hint="eastAsia" w:ascii="仿宋" w:hAnsi="仿宋" w:eastAsia="仿宋"/>
          <w:bCs/>
          <w:color w:val="2B2B2B"/>
          <w:sz w:val="32"/>
          <w:szCs w:val="32"/>
        </w:rPr>
        <w:t>）和</w:t>
      </w:r>
      <w:r>
        <w:rPr>
          <w:rFonts w:ascii="仿宋" w:hAnsi="仿宋" w:eastAsia="仿宋"/>
          <w:bCs/>
          <w:sz w:val="32"/>
          <w:szCs w:val="32"/>
        </w:rPr>
        <w:t>《河南省农业机械购置补贴产品违规经营行为处理办法（试行）》</w:t>
      </w:r>
      <w:r>
        <w:rPr>
          <w:rFonts w:hint="eastAsia" w:ascii="仿宋" w:hAnsi="仿宋" w:eastAsia="仿宋"/>
          <w:bCs/>
          <w:color w:val="2B2B2B"/>
          <w:sz w:val="32"/>
          <w:szCs w:val="32"/>
        </w:rPr>
        <w:t>（</w:t>
      </w:r>
      <w:r>
        <w:rPr>
          <w:rFonts w:hint="eastAsia" w:ascii="仿宋" w:hAnsi="仿宋" w:eastAsia="仿宋"/>
          <w:sz w:val="32"/>
          <w:szCs w:val="32"/>
        </w:rPr>
        <w:t>豫</w:t>
      </w:r>
      <w:r>
        <w:rPr>
          <w:rFonts w:ascii="仿宋" w:hAnsi="仿宋" w:eastAsia="仿宋"/>
          <w:sz w:val="32"/>
          <w:szCs w:val="32"/>
        </w:rPr>
        <w:t>农机文〔20</w:t>
      </w:r>
      <w:r>
        <w:rPr>
          <w:rFonts w:hint="eastAsia" w:ascii="仿宋" w:hAnsi="仿宋" w:eastAsia="仿宋"/>
          <w:sz w:val="32"/>
          <w:szCs w:val="32"/>
        </w:rPr>
        <w:t>20</w:t>
      </w:r>
      <w:r>
        <w:rPr>
          <w:rFonts w:ascii="仿宋" w:hAnsi="仿宋" w:eastAsia="仿宋"/>
          <w:sz w:val="32"/>
          <w:szCs w:val="32"/>
        </w:rPr>
        <w:t>〕</w:t>
      </w:r>
      <w:r>
        <w:rPr>
          <w:rFonts w:hint="eastAsia" w:ascii="仿宋" w:hAnsi="仿宋" w:eastAsia="仿宋"/>
          <w:sz w:val="32"/>
          <w:szCs w:val="32"/>
        </w:rPr>
        <w:t>42</w:t>
      </w:r>
      <w:r>
        <w:rPr>
          <w:rFonts w:ascii="仿宋" w:hAnsi="仿宋" w:eastAsia="仿宋"/>
          <w:sz w:val="32"/>
          <w:szCs w:val="32"/>
        </w:rPr>
        <w:t>号</w:t>
      </w:r>
      <w:r>
        <w:rPr>
          <w:rFonts w:hint="eastAsia" w:ascii="仿宋" w:hAnsi="仿宋" w:eastAsia="仿宋"/>
          <w:bCs/>
          <w:color w:val="2B2B2B"/>
          <w:sz w:val="32"/>
          <w:szCs w:val="32"/>
        </w:rPr>
        <w:t>）</w:t>
      </w:r>
      <w:r>
        <w:rPr>
          <w:rFonts w:hint="eastAsia" w:ascii="仿宋" w:hAnsi="仿宋" w:eastAsia="仿宋"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4"/>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仿宋"/>
          <w:b w:val="0"/>
          <w:bCs w:val="0"/>
          <w:sz w:val="32"/>
          <w:szCs w:val="32"/>
        </w:rPr>
        <w:t>附件：</w:t>
      </w:r>
      <w:r>
        <w:rPr>
          <w:rFonts w:ascii="仿宋" w:hAnsi="仿宋" w:eastAsia="仿宋" w:cs="仿宋_GB2312"/>
          <w:color w:val="000000"/>
          <w:sz w:val="32"/>
          <w:szCs w:val="32"/>
        </w:rPr>
        <w:t>2021—2023年</w:t>
      </w:r>
      <w:r>
        <w:rPr>
          <w:rFonts w:hint="eastAsia" w:ascii="仿宋" w:hAnsi="仿宋" w:eastAsia="仿宋" w:cs="仿宋_GB2312"/>
          <w:color w:val="000000"/>
          <w:sz w:val="32"/>
          <w:szCs w:val="32"/>
        </w:rPr>
        <w:t>河南省农机购置补贴机具种类范围</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keepNext w:val="0"/>
        <w:keepLines w:val="0"/>
        <w:pageBreakBefore w:val="0"/>
        <w:widowControl w:val="0"/>
        <w:kinsoku/>
        <w:wordWrap/>
        <w:overflowPunct/>
        <w:topLinePunct w:val="0"/>
        <w:autoSpaceDE/>
        <w:bidi w:val="0"/>
        <w:spacing w:before="0" w:beforeLines="0" w:beforeAutospacing="0" w:line="600" w:lineRule="exact"/>
        <w:ind w:right="0" w:rightChars="0" w:firstLine="2560" w:firstLineChars="800"/>
        <w:jc w:val="both"/>
        <w:textAlignment w:val="auto"/>
        <w:outlineLvl w:val="9"/>
        <w:rPr>
          <w:rFonts w:hint="eastAsia" w:ascii="仿宋_GB2312" w:hAnsi="仿宋_GB2312" w:eastAsia="仿宋_GB2312" w:cs="仿宋_GB2312"/>
          <w:sz w:val="32"/>
          <w:szCs w:val="32"/>
          <w:lang w:val="en-US" w:eastAsia="zh-CN"/>
        </w:rPr>
      </w:pPr>
      <w:r>
        <w:rPr>
          <w:rFonts w:hint="eastAsia" w:ascii="仿宋" w:hAnsi="仿宋" w:eastAsia="仿宋" w:cs="仿宋_GB2312"/>
          <w:color w:val="000000"/>
          <w:sz w:val="32"/>
          <w:szCs w:val="32"/>
          <w:lang w:eastAsia="zh-CN"/>
        </w:rPr>
        <w:t>范县农业机械技术中心</w:t>
      </w:r>
      <w:r>
        <w:rPr>
          <w:rFonts w:hint="eastAsia" w:ascii="仿宋" w:hAnsi="仿宋" w:eastAsia="仿宋" w:cs="仿宋_GB2312"/>
          <w:color w:val="000000"/>
          <w:sz w:val="32"/>
          <w:szCs w:val="32"/>
          <w:lang w:val="en-US" w:eastAsia="zh-CN"/>
        </w:rPr>
        <w:t xml:space="preserve">   </w:t>
      </w:r>
      <w:r>
        <w:rPr>
          <w:rFonts w:hint="eastAsia" w:ascii="仿宋_GB2312" w:hAnsi="仿宋_GB2312" w:eastAsia="仿宋_GB2312" w:cs="仿宋_GB2312"/>
          <w:sz w:val="32"/>
          <w:szCs w:val="32"/>
          <w:lang w:val="en-US" w:eastAsia="zh-CN"/>
        </w:rPr>
        <w:t xml:space="preserve"> 范县财政局</w:t>
      </w:r>
    </w:p>
    <w:p>
      <w:pPr>
        <w:pStyle w:val="4"/>
        <w:widowControl w:val="0"/>
        <w:snapToGrid w:val="0"/>
        <w:spacing w:before="0" w:beforeAutospacing="0" w:after="0" w:afterAutospacing="0" w:line="360" w:lineRule="auto"/>
        <w:jc w:val="both"/>
        <w:rPr>
          <w:rFonts w:hint="default" w:ascii="仿宋" w:hAnsi="仿宋" w:eastAsia="仿宋" w:cs="仿宋_GB2312"/>
          <w:color w:val="000000"/>
          <w:sz w:val="32"/>
          <w:szCs w:val="32"/>
          <w:lang w:val="en-US" w:eastAsia="zh-CN"/>
        </w:rPr>
      </w:pPr>
    </w:p>
    <w:p>
      <w:pPr>
        <w:pStyle w:val="4"/>
        <w:widowControl w:val="0"/>
        <w:snapToGrid w:val="0"/>
        <w:spacing w:before="0" w:beforeAutospacing="0" w:after="0" w:afterAutospacing="0" w:line="360" w:lineRule="auto"/>
        <w:ind w:firstLine="640" w:firstLineChars="200"/>
        <w:jc w:val="right"/>
        <w:rPr>
          <w:rFonts w:hint="default"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2021年6月26日</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jc w:val="both"/>
        <w:rPr>
          <w:rFonts w:hint="eastAsia" w:ascii="黑体" w:hAnsi="黑体" w:eastAsia="黑体"/>
          <w:sz w:val="32"/>
          <w:szCs w:val="32"/>
          <w:lang w:eastAsia="zh-CN" w:bidi="ar"/>
        </w:rPr>
      </w:pPr>
      <w:r>
        <w:rPr>
          <w:rFonts w:hint="eastAsia" w:ascii="黑体" w:hAnsi="黑体" w:eastAsia="黑体"/>
          <w:sz w:val="32"/>
          <w:szCs w:val="32"/>
          <w:lang w:bidi="ar"/>
        </w:rPr>
        <w:t>附件</w:t>
      </w:r>
      <w:r>
        <w:rPr>
          <w:rFonts w:hint="eastAsia" w:ascii="黑体" w:hAnsi="黑体" w:eastAsia="黑体"/>
          <w:sz w:val="32"/>
          <w:szCs w:val="32"/>
          <w:lang w:val="en-US" w:eastAsia="zh-CN" w:bidi="ar"/>
        </w:rPr>
        <w:t>1</w:t>
      </w:r>
    </w:p>
    <w:p>
      <w:pPr>
        <w:pStyle w:val="2"/>
        <w:widowControl w:val="0"/>
        <w:spacing w:before="0" w:beforeAutospacing="0" w:after="0" w:afterAutospacing="0"/>
        <w:jc w:val="center"/>
        <w:rPr>
          <w:rFonts w:hint="eastAsia" w:ascii="华文中宋" w:hAnsi="华文中宋" w:eastAsia="华文中宋" w:cs="华文中宋"/>
          <w:b w:val="0"/>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r>
        <w:rPr>
          <w:rFonts w:hint="eastAsia" w:ascii="黑体" w:hAnsi="黑体" w:eastAsia="黑体" w:cs="华文中宋"/>
          <w:bCs w:val="0"/>
          <w:color w:val="000000"/>
          <w:kern w:val="0"/>
          <w:sz w:val="36"/>
          <w:szCs w:val="36"/>
        </w:rPr>
        <w:t>2021—2023年河南省农机购置补贴机具种类范围</w:t>
      </w:r>
    </w:p>
    <w:p>
      <w:pPr>
        <w:pStyle w:val="3"/>
        <w:spacing w:before="0" w:beforeLines="0" w:after="0" w:afterLines="0"/>
        <w:rPr>
          <w:rFonts w:hint="eastAsia"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（15大类44个小类17</w:t>
      </w:r>
      <w:r>
        <w:rPr>
          <w:rFonts w:hint="eastAsia" w:ascii="楷体_GB2312" w:hAnsi="楷体_GB2312" w:eastAsia="楷体_GB2312" w:cs="楷体_GB2312"/>
          <w:sz w:val="32"/>
          <w:szCs w:val="32"/>
          <w:lang w:val="en-US" w:eastAsia="zh-CN" w:bidi="ar"/>
        </w:rPr>
        <w:t>0</w:t>
      </w:r>
      <w:r>
        <w:rPr>
          <w:rFonts w:hint="eastAsia" w:ascii="楷体_GB2312" w:hAnsi="楷体_GB2312" w:eastAsia="楷体_GB2312" w:cs="楷体_GB2312"/>
          <w:sz w:val="32"/>
          <w:szCs w:val="32"/>
          <w:lang w:bidi="ar"/>
        </w:rPr>
        <w:t>个品目）</w:t>
      </w:r>
    </w:p>
    <w:p>
      <w:pPr>
        <w:rPr>
          <w:rFonts w:hint="eastAsia" w:ascii="仿宋" w:hAnsi="仿宋" w:eastAsia="仿宋"/>
          <w:sz w:val="36"/>
          <w:szCs w:val="36"/>
          <w:lang w:bidi="ar"/>
        </w:rPr>
      </w:pP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1.1耕地机械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1.1.1铧式犁</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1.1.8机滚船</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1.1.9机耕船</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1.2整地机械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2.1播种机械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2.1.7水稻直播机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2.1.8精量播种机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2.1.9整地施肥播种机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2.2育苗机械设备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2.3栽植机械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2.3.1水稻插秧机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2.3.2秧苗移栽机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2.3.3甘蔗种植机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2.4施肥机械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3.1中耕机械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3.2植保机械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3.3修剪机械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3.3.1茶树修剪机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3.3.2果树修剪机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3.3.3</w:t>
      </w:r>
      <w:r>
        <w:rPr>
          <w:rFonts w:hint="eastAsia" w:ascii="仿宋" w:hAnsi="仿宋" w:eastAsia="仿宋" w:cs="仿宋_GB2312"/>
          <w:color w:val="000000"/>
          <w:sz w:val="32"/>
          <w:szCs w:val="32"/>
        </w:rPr>
        <w:t>枝条切碎机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4.1谷物收获机械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4.2玉米收获机械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4.3棉麻作物收获机械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4.3.1棉花收获机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4.4果实收获机械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4.4.1</w:t>
      </w:r>
      <w:r>
        <w:rPr>
          <w:rFonts w:ascii="仿宋" w:hAnsi="仿宋" w:eastAsia="仿宋" w:cs="仿宋_GB2312"/>
          <w:color w:val="000000"/>
          <w:sz w:val="32"/>
          <w:szCs w:val="32"/>
        </w:rPr>
        <w:t>果实捡拾机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4.4.2番茄收获机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4.4.3</w:t>
      </w:r>
      <w:r>
        <w:rPr>
          <w:rFonts w:hint="eastAsia" w:ascii="仿宋" w:hAnsi="仿宋" w:eastAsia="仿宋" w:cs="仿宋_GB2312"/>
          <w:color w:val="000000"/>
          <w:sz w:val="32"/>
          <w:szCs w:val="32"/>
        </w:rPr>
        <w:t>辣椒收获机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4.5蔬菜收获机械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4.5.1果类蔬菜收获机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4.6花卉（茶叶）采收机械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4.6.1采茶机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4.7籽粒作物收获机械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4.7.1油菜籽收获机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4.7.2葵花籽收获机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4.8根茎作物收获机械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4.8.1薯类收获机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4.8.2甜菜收获机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4.8.3甘蔗收获机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4.8.4甘蔗割铺机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4.8.5花生收获机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4.9饲料作物收获机械</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4.9.1割草机（含果园无人割草机）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4.9.2搂草机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4.9.3打（压）捆机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4.9.4圆草捆包膜机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4.9.5青饲料收获机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4.10茎秆收集处理机械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4.10.1秸秆粉碎还田机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4.10.2高秆作物割晒机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5.1脱粒机械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5.2清选机械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bookmarkStart w:id="0" w:name="_GoBack"/>
      <w:bookmarkEnd w:id="0"/>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5.3干燥机械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5.4种子加工机械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6.1碾米机械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6.2磨粉（浆）机械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6.3果蔬加工机械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6.4茶叶加工机械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6.4.1茶叶杀青机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6.4.2茶叶揉捻机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6.4.3茶叶炒（烘）干机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6.4.4茶叶筛选机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6.4.5茶叶理条机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6.5剥壳（去皮）机械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6.5.1玉米剥皮机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6.5.2花生脱壳机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6.5.3干坚果脱壳机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6.5.4剥（刮）麻机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7.1装卸机械</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8.1水泵</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8.2喷灌机械设备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9.1饲料（草）加工机械设备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9.2饲养机械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9.3畜产品采集加工机械设备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10.1水产养殖机械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10.2水产捕捞机械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10.2.1绞纲机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10.2.2船用油污水分离装置</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11.1废弃物处理设备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12.1</w:t>
      </w:r>
      <w:r>
        <w:rPr>
          <w:rFonts w:ascii="仿宋" w:hAnsi="仿宋" w:eastAsia="仿宋" w:cs="仿宋_GB2312"/>
          <w:color w:val="000000"/>
          <w:sz w:val="32"/>
          <w:szCs w:val="32"/>
        </w:rPr>
        <w:t>挖掘机械</w:t>
      </w: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4"/>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12.2</w:t>
      </w:r>
      <w:r>
        <w:rPr>
          <w:rFonts w:hint="eastAsia" w:ascii="仿宋" w:hAnsi="仿宋" w:eastAsia="仿宋" w:cs="仿宋_GB2312"/>
          <w:color w:val="000000"/>
          <w:sz w:val="32"/>
          <w:szCs w:val="32"/>
        </w:rPr>
        <w:t>平地机械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13.1温室大棚设备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13.2食用菌生产设备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14.1拖拉机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履带式拖拉机</w:t>
      </w:r>
    </w:p>
    <w:p>
      <w:pPr>
        <w:pStyle w:val="4"/>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15.1养蜂设备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4"/>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15.2其他机械</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籽棉清理机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3</w:t>
      </w:r>
      <w:r>
        <w:rPr>
          <w:rFonts w:hint="eastAsia" w:ascii="仿宋" w:hAnsi="仿宋" w:eastAsia="仿宋" w:cs="仿宋_GB2312"/>
          <w:color w:val="000000"/>
          <w:sz w:val="32"/>
          <w:szCs w:val="32"/>
        </w:rPr>
        <w:t>水帘降温设备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4</w:t>
      </w:r>
      <w:r>
        <w:rPr>
          <w:rFonts w:hint="eastAsia" w:ascii="仿宋" w:hAnsi="仿宋" w:eastAsia="仿宋" w:cs="仿宋_GB2312"/>
          <w:color w:val="000000"/>
          <w:sz w:val="32"/>
          <w:szCs w:val="32"/>
        </w:rPr>
        <w:t>热水加温系统</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5</w:t>
      </w:r>
      <w:r>
        <w:rPr>
          <w:rFonts w:hint="eastAsia" w:ascii="仿宋" w:hAnsi="仿宋" w:eastAsia="仿宋" w:cs="仿宋_GB2312"/>
          <w:color w:val="000000"/>
          <w:sz w:val="32"/>
          <w:szCs w:val="32"/>
        </w:rPr>
        <w:t>简易保鲜储藏设备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6</w:t>
      </w:r>
      <w:r>
        <w:rPr>
          <w:rFonts w:hint="eastAsia" w:ascii="仿宋" w:hAnsi="仿宋" w:eastAsia="仿宋" w:cs="仿宋_GB2312"/>
          <w:color w:val="000000"/>
          <w:sz w:val="32"/>
          <w:szCs w:val="32"/>
        </w:rPr>
        <w:t>水井钻机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7</w:t>
      </w:r>
      <w:r>
        <w:rPr>
          <w:rFonts w:hint="eastAsia" w:ascii="仿宋" w:hAnsi="仿宋" w:eastAsia="仿宋" w:cs="仿宋_GB2312"/>
          <w:color w:val="000000"/>
          <w:sz w:val="32"/>
          <w:szCs w:val="32"/>
        </w:rPr>
        <w:t>旋耕播种机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8</w:t>
      </w:r>
      <w:r>
        <w:rPr>
          <w:rFonts w:hint="eastAsia" w:ascii="仿宋" w:hAnsi="仿宋" w:eastAsia="仿宋" w:cs="仿宋_GB2312"/>
          <w:color w:val="000000"/>
          <w:sz w:val="32"/>
          <w:szCs w:val="32"/>
        </w:rPr>
        <w:t>大米色选机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9</w:t>
      </w:r>
      <w:r>
        <w:rPr>
          <w:rFonts w:hint="eastAsia" w:ascii="仿宋" w:hAnsi="仿宋" w:eastAsia="仿宋" w:cs="仿宋_GB2312"/>
          <w:color w:val="000000"/>
          <w:sz w:val="32"/>
          <w:szCs w:val="32"/>
        </w:rPr>
        <w:t>杂粮色选机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0</w:t>
      </w:r>
      <w:r>
        <w:rPr>
          <w:rFonts w:hint="eastAsia" w:ascii="仿宋" w:hAnsi="仿宋" w:eastAsia="仿宋" w:cs="仿宋_GB2312"/>
          <w:color w:val="000000"/>
          <w:sz w:val="32"/>
          <w:szCs w:val="32"/>
        </w:rPr>
        <w:t>甘蔗田间收集搬运机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11</w:t>
      </w:r>
      <w:r>
        <w:rPr>
          <w:rFonts w:hint="eastAsia" w:ascii="仿宋" w:hAnsi="仿宋" w:eastAsia="仿宋" w:cs="仿宋_GB2312"/>
          <w:color w:val="000000"/>
          <w:sz w:val="32"/>
          <w:szCs w:val="32"/>
        </w:rPr>
        <w:t>秸秆膨化机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2</w:t>
      </w:r>
      <w:r>
        <w:rPr>
          <w:rFonts w:hint="eastAsia" w:ascii="仿宋" w:hAnsi="仿宋" w:eastAsia="仿宋" w:cs="仿宋_GB2312"/>
          <w:color w:val="000000"/>
          <w:sz w:val="32"/>
          <w:szCs w:val="32"/>
        </w:rPr>
        <w:t>畜禽粪便发酵处理机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13</w:t>
      </w:r>
      <w:r>
        <w:rPr>
          <w:rFonts w:hint="eastAsia" w:ascii="仿宋" w:hAnsi="仿宋" w:eastAsia="仿宋" w:cs="仿宋_GB2312"/>
          <w:color w:val="000000"/>
          <w:sz w:val="32"/>
          <w:szCs w:val="32"/>
        </w:rPr>
        <w:t>农业用北斗终端及辅助驾驶系统（含渔船用）</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4沼气发电机组</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15.2.15有机肥加工设备</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15.2.16</w:t>
      </w:r>
      <w:r>
        <w:rPr>
          <w:rFonts w:ascii="仿宋" w:hAnsi="仿宋" w:eastAsia="仿宋" w:cs="仿宋_GB2312"/>
          <w:color w:val="000000"/>
          <w:sz w:val="32"/>
          <w:szCs w:val="32"/>
        </w:rPr>
        <w:t>茶叶输送机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15.2.17茶叶压扁机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15.2.18茶叶色选机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.19根（块）茎作物收获机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0果园作业平台</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1果园轨道运输机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15.2.22秸秆收集机</w:t>
      </w:r>
    </w:p>
    <w:p>
      <w:pPr>
        <w:pStyle w:val="4"/>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3瓜果取籽机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4脱蓬（脯）机</w:t>
      </w:r>
    </w:p>
    <w:p>
      <w:pPr>
        <w:pStyle w:val="4"/>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15.2.2</w:t>
      </w:r>
      <w:r>
        <w:rPr>
          <w:rFonts w:hint="eastAsia" w:ascii="仿宋" w:hAnsi="仿宋" w:eastAsia="仿宋" w:cs="仿宋_GB2312"/>
          <w:color w:val="000000"/>
          <w:sz w:val="32"/>
          <w:szCs w:val="32"/>
        </w:rPr>
        <w:t>5</w:t>
      </w:r>
      <w:r>
        <w:rPr>
          <w:rFonts w:ascii="仿宋" w:hAnsi="仿宋" w:eastAsia="仿宋" w:cs="仿宋_GB2312"/>
          <w:color w:val="000000"/>
          <w:sz w:val="32"/>
          <w:szCs w:val="32"/>
        </w:rPr>
        <w:t>莲子剥壳去皮机</w:t>
      </w:r>
    </w:p>
    <w:p>
      <w:pPr>
        <w:pStyle w:val="4"/>
        <w:widowControl w:val="0"/>
        <w:snapToGrid w:val="0"/>
        <w:spacing w:before="0" w:beforeAutospacing="0" w:after="0" w:afterAutospacing="0" w:line="360" w:lineRule="auto"/>
        <w:ind w:firstLine="640"/>
        <w:jc w:val="both"/>
        <w:rPr>
          <w:rFonts w:ascii="仿宋" w:hAnsi="仿宋" w:eastAsia="仿宋"/>
          <w:sz w:val="32"/>
          <w:szCs w:val="32"/>
        </w:rPr>
      </w:pPr>
      <w:r>
        <w:rPr>
          <w:rFonts w:ascii="仿宋" w:hAnsi="仿宋" w:eastAsia="仿宋"/>
          <w:sz w:val="32"/>
          <w:szCs w:val="32"/>
        </w:rPr>
        <w:t>15.2.2</w:t>
      </w:r>
      <w:r>
        <w:rPr>
          <w:rFonts w:hint="eastAsia" w:ascii="仿宋" w:hAnsi="仿宋" w:eastAsia="仿宋"/>
          <w:sz w:val="32"/>
          <w:szCs w:val="32"/>
        </w:rPr>
        <w:t>6</w:t>
      </w:r>
      <w:r>
        <w:rPr>
          <w:rFonts w:ascii="仿宋" w:hAnsi="仿宋" w:eastAsia="仿宋"/>
          <w:sz w:val="32"/>
          <w:szCs w:val="32"/>
        </w:rPr>
        <w:t>水产养殖水质监控设备</w:t>
      </w: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4"/>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A15E50"/>
    <w:multiLevelType w:val="singleLevel"/>
    <w:tmpl w:val="DFA15E5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E70A1F"/>
    <w:rsid w:val="09CA6170"/>
    <w:rsid w:val="0DD76F10"/>
    <w:rsid w:val="152B2A32"/>
    <w:rsid w:val="1A2965B6"/>
    <w:rsid w:val="2BCD0D61"/>
    <w:rsid w:val="2C4671EE"/>
    <w:rsid w:val="37E70A1F"/>
    <w:rsid w:val="42F95C3C"/>
    <w:rsid w:val="476C5B02"/>
    <w:rsid w:val="49CF4209"/>
    <w:rsid w:val="4E363B46"/>
    <w:rsid w:val="500A22F5"/>
    <w:rsid w:val="50576E8D"/>
    <w:rsid w:val="5500700B"/>
    <w:rsid w:val="60220A85"/>
    <w:rsid w:val="6EA6185E"/>
    <w:rsid w:val="73770376"/>
    <w:rsid w:val="7A48131E"/>
    <w:rsid w:val="7A945D57"/>
    <w:rsid w:val="7B607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176</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2021-04-26T07:06:00Z</dcterms:created>
  <dc:creator>Tong</dc:creator>
  <cp:lastModifiedBy>Tong</cp:lastModifiedBy>
  <cp:lastPrinted>2021-07-19T01:06:49Z</cp:lastPrinted>
  <dcterms:modified xsi:type="dcterms:W3CDTF">2021-07-19T02:06:07Z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961C6033594445B088E803D785AE070C</vt:lpwstr>
  </property>
</Properties>
</file>