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2018年农机购置补贴流程</w:t>
      </w:r>
    </w:p>
    <w:p>
      <w:pPr>
        <w:jc w:val="left"/>
        <w:rPr>
          <w:rFonts w:hint="eastAsia" w:ascii="黑体" w:hAnsi="黑体" w:eastAsia="黑体" w:cs="黑体"/>
          <w:sz w:val="36"/>
          <w:szCs w:val="36"/>
          <w:lang w:val="en-US" w:eastAsia="zh-CN"/>
        </w:rPr>
      </w:pP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2018年农机购置补贴政策实行自主购机，定额补贴，先购后补，县级结算，直补到（卡）户。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461D5F"/>
    <w:rsid w:val="0B761BBC"/>
    <w:rsid w:val="30EF05AD"/>
    <w:rsid w:val="672A523F"/>
    <w:rsid w:val="6D535020"/>
    <w:rsid w:val="77461D5F"/>
    <w:rsid w:val="7A1C5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2018-08-01T08:58:00Z</dcterms:created>
  <dc:creator>Administrator</dc:creator>
  <cp:lastModifiedBy>Administrator</cp:lastModifiedBy>
  <cp:lastPrinted>2018-10-23T06:19:23Z</cp:lastPrinted>
  <dcterms:modified xsi:type="dcterms:W3CDTF">2018-10-23T06:20:43Z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