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ind w:firstLine="883" w:firstLineChars="200"/>
        <w:jc w:val="both"/>
        <w:rPr>
          <w:rFonts w:hint="eastAsia" w:ascii="仿宋_GB2312" w:eastAsia="仿宋_GB2312" w:cs="仿宋_GB2312"/>
          <w:b/>
          <w:bCs/>
          <w:kern w:val="0"/>
          <w:sz w:val="44"/>
          <w:szCs w:val="44"/>
          <w:lang w:eastAsia="zh-CN"/>
        </w:rPr>
      </w:pPr>
      <w:r>
        <w:rPr>
          <w:rFonts w:hint="eastAsia" w:ascii="仿宋_GB2312" w:eastAsia="仿宋_GB2312" w:cs="仿宋_GB2312"/>
          <w:b/>
          <w:bCs/>
          <w:kern w:val="0"/>
          <w:sz w:val="44"/>
          <w:szCs w:val="44"/>
          <w:lang w:eastAsia="zh-CN"/>
        </w:rPr>
        <w:t>伊川县农机购置补贴机具核验工作规范</w:t>
      </w:r>
    </w:p>
    <w:p>
      <w:pPr>
        <w:widowControl/>
        <w:snapToGrid w:val="0"/>
        <w:spacing w:line="360" w:lineRule="auto"/>
        <w:ind w:firstLine="640" w:firstLineChars="200"/>
        <w:rPr>
          <w:rFonts w:hint="eastAsia" w:ascii="仿宋_GB2312" w:eastAsia="仿宋_GB2312" w:cs="仿宋_GB2312"/>
          <w:kern w:val="0"/>
          <w:sz w:val="32"/>
          <w:szCs w:val="32"/>
        </w:rPr>
      </w:pP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eastAsia="仿宋_GB2312" w:cs="仿宋_GB2312"/>
          <w:kern w:val="0"/>
          <w:sz w:val="32"/>
          <w:szCs w:val="32"/>
          <w:lang w:eastAsia="zh-CN"/>
        </w:rPr>
        <w:t>为</w:t>
      </w:r>
      <w:r>
        <w:rPr>
          <w:rFonts w:hint="eastAsia" w:ascii="仿宋_GB2312" w:eastAsia="仿宋_GB2312" w:cs="仿宋_GB2312"/>
          <w:kern w:val="0"/>
          <w:sz w:val="32"/>
          <w:szCs w:val="32"/>
        </w:rPr>
        <w:t>加强农机购置补贴机具核验管理，确保补贴资金安全</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充分发挥政策效益。规范农机购置补贴机具核验</w:t>
      </w:r>
      <w:r>
        <w:rPr>
          <w:rFonts w:hint="eastAsia" w:ascii="仿宋_GB2312" w:eastAsia="仿宋_GB2312" w:cs="仿宋_GB2312"/>
          <w:kern w:val="0"/>
          <w:sz w:val="32"/>
          <w:szCs w:val="32"/>
          <w:lang w:eastAsia="zh-CN"/>
        </w:rPr>
        <w:t>工作</w:t>
      </w:r>
      <w:r>
        <w:rPr>
          <w:rFonts w:hint="eastAsia" w:ascii="仿宋_GB2312" w:eastAsia="仿宋_GB2312" w:cs="仿宋_GB2312"/>
          <w:kern w:val="0"/>
          <w:sz w:val="32"/>
          <w:szCs w:val="32"/>
        </w:rPr>
        <w:t>行为，防范管理风险，提高办补效率，进一步便民利民，根据农业农村部</w:t>
      </w:r>
      <w:r>
        <w:rPr>
          <w:rFonts w:hint="eastAsia" w:ascii="仿宋_GB2312" w:hAnsi="仿宋_GB2312" w:eastAsia="仿宋_GB2312" w:cs="仿宋_GB2312"/>
          <w:b w:val="0"/>
          <w:i w:val="0"/>
          <w:caps w:val="0"/>
          <w:color w:val="000000"/>
          <w:spacing w:val="0"/>
          <w:sz w:val="32"/>
          <w:szCs w:val="32"/>
          <w:shd w:val="clear" w:fill="FFFFFF"/>
        </w:rPr>
        <w:t>农办机〔2019〕</w:t>
      </w:r>
      <w:r>
        <w:rPr>
          <w:rFonts w:hint="eastAsia" w:ascii="仿宋_GB2312" w:hAnsi="仿宋_GB2312" w:eastAsia="仿宋_GB2312" w:cs="仿宋_GB2312"/>
          <w:b w:val="0"/>
          <w:i w:val="0"/>
          <w:caps w:val="0"/>
          <w:color w:val="000000"/>
          <w:spacing w:val="0"/>
          <w:sz w:val="32"/>
          <w:szCs w:val="32"/>
          <w:shd w:val="clear" w:fill="FFFFFF"/>
          <w:lang w:val="en-US" w:eastAsia="zh-CN"/>
        </w:rPr>
        <w:t>7</w:t>
      </w:r>
      <w:r>
        <w:rPr>
          <w:rFonts w:hint="eastAsia" w:ascii="仿宋_GB2312" w:hAnsi="仿宋_GB2312" w:eastAsia="仿宋_GB2312" w:cs="仿宋_GB2312"/>
          <w:b w:val="0"/>
          <w:i w:val="0"/>
          <w:caps w:val="0"/>
          <w:color w:val="000000"/>
          <w:spacing w:val="0"/>
          <w:sz w:val="32"/>
          <w:szCs w:val="32"/>
          <w:shd w:val="clear" w:fill="FFFFFF"/>
        </w:rPr>
        <w:t>号</w:t>
      </w:r>
      <w:r>
        <w:rPr>
          <w:rFonts w:hint="eastAsia" w:ascii="仿宋_GB2312" w:eastAsia="仿宋_GB2312" w:cs="仿宋_GB2312"/>
          <w:kern w:val="0"/>
          <w:sz w:val="32"/>
          <w:szCs w:val="32"/>
          <w:lang w:eastAsia="zh-CN"/>
        </w:rPr>
        <w:t>和省、市</w:t>
      </w:r>
      <w:r>
        <w:rPr>
          <w:rFonts w:hint="eastAsia" w:ascii="仿宋_GB2312" w:eastAsia="仿宋_GB2312" w:cs="仿宋_GB2312"/>
          <w:kern w:val="0"/>
          <w:sz w:val="32"/>
          <w:szCs w:val="32"/>
        </w:rPr>
        <w:t>农机购置补贴政策实施相关规定，制定</w:t>
      </w:r>
      <w:r>
        <w:rPr>
          <w:rFonts w:hint="eastAsia" w:ascii="仿宋_GB2312" w:eastAsia="仿宋_GB2312" w:cs="仿宋_GB2312"/>
          <w:kern w:val="0"/>
          <w:sz w:val="32"/>
          <w:szCs w:val="32"/>
          <w:lang w:eastAsia="zh-CN"/>
        </w:rPr>
        <w:t>伊川县农机购置补贴机具核验工作规范。</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购买补贴机具税票等信息；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w:t>
      </w:r>
      <w:r>
        <w:rPr>
          <w:rFonts w:hint="eastAsia" w:ascii="仿宋_GB2312" w:hAnsi="宋体" w:eastAsia="仿宋_GB2312" w:cs="仿宋_GB2312"/>
          <w:kern w:val="0"/>
          <w:sz w:val="32"/>
          <w:szCs w:val="32"/>
          <w:lang w:eastAsia="zh-CN"/>
        </w:rPr>
        <w:t>县农机局应</w:t>
      </w:r>
      <w:r>
        <w:rPr>
          <w:rFonts w:hint="eastAsia" w:ascii="仿宋_GB2312" w:hAnsi="宋体" w:eastAsia="仿宋_GB2312" w:cs="仿宋_GB2312"/>
          <w:kern w:val="0"/>
          <w:sz w:val="32"/>
          <w:szCs w:val="32"/>
        </w:rPr>
        <w:t>按规定及时受理申请。</w:t>
      </w:r>
    </w:p>
    <w:p>
      <w:pPr>
        <w:pStyle w:val="6"/>
        <w:snapToGrid w:val="0"/>
        <w:spacing w:line="360" w:lineRule="auto"/>
        <w:ind w:firstLine="643" w:firstLineChars="200"/>
        <w:rPr>
          <w:rFonts w:ascii="仿宋_GB2312" w:eastAsia="仿宋_GB2312" w:cs="Times New Roman"/>
          <w:b/>
          <w:bCs/>
          <w:kern w:val="0"/>
          <w:sz w:val="32"/>
          <w:szCs w:val="32"/>
        </w:rPr>
      </w:pP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票所显示的购机者名称与工商营业执照所显示的农业生产经营组织名称是否一致。</w:t>
      </w: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pPr>
        <w:pStyle w:val="6"/>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6"/>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（三）机具核验。</w:t>
      </w:r>
      <w:r>
        <w:rPr>
          <w:rFonts w:hint="eastAsia" w:ascii="仿宋_GB2312" w:hAnsi="宋体" w:eastAsia="仿宋_GB2312" w:cs="仿宋_GB2312"/>
          <w:b/>
          <w:bCs/>
          <w:kern w:val="0"/>
          <w:sz w:val="32"/>
          <w:szCs w:val="32"/>
        </w:rPr>
        <w:t>一是重点机具核验。</w:t>
      </w:r>
      <w:r>
        <w:rPr>
          <w:rFonts w:hint="eastAsia" w:ascii="仿宋_GB2312" w:hAnsi="宋体" w:eastAsia="仿宋_GB2312" w:cs="仿宋_GB2312"/>
          <w:kern w:val="0"/>
          <w:sz w:val="32"/>
          <w:szCs w:val="32"/>
        </w:rPr>
        <w:t>重点核验购机税发票所显示的机具名称、生产企业、型号、发动机号（不带动力的可不核验）、出厂编号与所购实物机具铭牌显示信息是否一致，所购实物机具铭牌显示信息与农机购置补贴辅助管理系统内对应的机具信息是否一致，购机税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票所显示的经销企业与农机购置补贴辅助管理系统内对应的经销信息是否一致。</w:t>
      </w:r>
      <w:r>
        <w:rPr>
          <w:rFonts w:hint="eastAsia" w:ascii="仿宋_GB2312" w:hAnsi="宋体" w:eastAsia="仿宋_GB2312" w:cs="仿宋_GB2312"/>
          <w:b/>
          <w:bCs/>
          <w:kern w:val="0"/>
          <w:sz w:val="32"/>
          <w:szCs w:val="32"/>
        </w:rPr>
        <w:t>二是非重点机具核验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。对补贴额较低、风险可控度高的机具可采取补贴资金兑付后按比例抽查核验方式进行，抽核内容同重点机具。抽核比</w:t>
      </w:r>
      <w:r>
        <w:rPr>
          <w:rFonts w:hint="eastAsia" w:ascii="仿宋_GB2312" w:hAnsi="宋体" w:eastAsia="仿宋_GB2312" w:cs="仿宋_GB2312"/>
          <w:kern w:val="0"/>
          <w:sz w:val="32"/>
          <w:szCs w:val="32"/>
          <w:lang w:eastAsia="zh-CN"/>
        </w:rPr>
        <w:t>例不少于</w:t>
      </w:r>
      <w:r>
        <w:rPr>
          <w:rFonts w:hint="eastAsia" w:ascii="仿宋_GB2312" w:hAnsi="宋体" w:eastAsia="仿宋_GB2312" w:cs="仿宋_GB2312"/>
          <w:kern w:val="0"/>
          <w:sz w:val="32"/>
          <w:szCs w:val="32"/>
          <w:lang w:val="en-US" w:eastAsia="zh-CN"/>
        </w:rPr>
        <w:t>60%</w:t>
      </w:r>
      <w:r>
        <w:rPr>
          <w:rFonts w:hint="eastAsia" w:ascii="仿宋_GB2312" w:hAnsi="宋体" w:eastAsia="仿宋_GB2312" w:cs="仿宋_GB2312"/>
          <w:kern w:val="0"/>
          <w:sz w:val="32"/>
          <w:szCs w:val="32"/>
        </w:rPr>
        <w:t>。</w:t>
      </w:r>
    </w:p>
    <w:p>
      <w:pPr>
        <w:pStyle w:val="6"/>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rPr>
        <w:t>鼓励通过进村入户、提前预约等方式开展核验，便利购机者以及设施安装类机具核验。核验结果由核验人员与购机者双方签字确认。</w:t>
      </w:r>
      <w:r>
        <w:rPr>
          <w:rFonts w:hint="eastAsia" w:ascii="仿宋_GB2312" w:hAnsi="宋体" w:eastAsia="仿宋_GB2312" w:cs="仿宋_GB2312"/>
          <w:sz w:val="32"/>
          <w:szCs w:val="32"/>
        </w:rPr>
        <w:t>单位内部集体会审双重审核，探索对补贴机具核验结果实行基层农机化、种植业、畜牧业、农产品初加工等有关方面共同参加的集体会商。</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6"/>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lang w:val="en-US" w:eastAsia="zh-CN"/>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6"/>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lang w:val="en-US" w:eastAsia="zh-CN"/>
        </w:rPr>
        <w:t xml:space="preserve">  </w:t>
      </w:r>
      <w:r>
        <w:rPr>
          <w:rFonts w:hint="eastAsia" w:ascii="楷体_GB2312" w:hAnsi="宋体" w:eastAsia="楷体_GB2312" w:cs="楷体_GB2312"/>
          <w:b/>
          <w:bCs/>
          <w:kern w:val="0"/>
          <w:sz w:val="32"/>
          <w:szCs w:val="32"/>
        </w:rPr>
        <w:t>（四）复核登记。</w:t>
      </w:r>
      <w:r>
        <w:rPr>
          <w:rFonts w:hint="eastAsia" w:ascii="仿宋_GB2312" w:hAnsi="宋体" w:eastAsia="仿宋_GB2312" w:cs="仿宋_GB2312"/>
          <w:kern w:val="0"/>
          <w:sz w:val="32"/>
          <w:szCs w:val="32"/>
        </w:rPr>
        <w:t>对资料核验、机具核验的程序、方式和签</w:t>
      </w:r>
      <w:r>
        <w:rPr>
          <w:rFonts w:hint="eastAsia" w:ascii="仿宋_GB2312" w:hAnsi="宋体" w:eastAsia="仿宋_GB2312" w:cs="仿宋_GB2312"/>
          <w:kern w:val="0"/>
          <w:sz w:val="32"/>
          <w:szCs w:val="32"/>
          <w:lang w:eastAsia="zh-CN"/>
        </w:rPr>
        <w:t>字</w:t>
      </w:r>
      <w:r>
        <w:rPr>
          <w:rFonts w:hint="eastAsia" w:ascii="仿宋_GB2312" w:hAnsi="宋体" w:eastAsia="仿宋_GB2312" w:cs="仿宋_GB2312"/>
          <w:kern w:val="0"/>
          <w:sz w:val="32"/>
          <w:szCs w:val="32"/>
        </w:rPr>
        <w:t>的规范性进行集体复核，可与集体会商同步进行，通过后登记立册。</w:t>
      </w:r>
    </w:p>
    <w:p>
      <w:pPr>
        <w:pStyle w:val="6"/>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（五）公示报送。</w:t>
      </w:r>
      <w:r>
        <w:rPr>
          <w:rFonts w:hint="eastAsia" w:ascii="仿宋_GB2312" w:hAnsi="宋体" w:eastAsia="仿宋_GB2312" w:cs="仿宋_GB2312"/>
          <w:kern w:val="0"/>
          <w:sz w:val="32"/>
          <w:szCs w:val="32"/>
        </w:rPr>
        <w:t>对通过复核的补贴申请信息进行为期不少于</w:t>
      </w:r>
      <w:r>
        <w:rPr>
          <w:rFonts w:ascii="仿宋_GB2312" w:hAnsi="宋体" w:eastAsia="仿宋_GB2312" w:cs="仿宋_GB2312"/>
          <w:kern w:val="0"/>
          <w:sz w:val="32"/>
          <w:szCs w:val="32"/>
        </w:rPr>
        <w:t>30</w:t>
      </w:r>
      <w:r>
        <w:rPr>
          <w:rFonts w:hint="eastAsia" w:ascii="仿宋_GB2312" w:hAnsi="宋体" w:eastAsia="仿宋_GB2312" w:cs="仿宋_GB2312"/>
          <w:kern w:val="0"/>
          <w:sz w:val="32"/>
          <w:szCs w:val="32"/>
        </w:rPr>
        <w:t>天的公示，公示无异议后报送</w:t>
      </w:r>
      <w:r>
        <w:rPr>
          <w:rFonts w:hint="eastAsia" w:ascii="仿宋_GB2312" w:hAnsi="宋体" w:eastAsia="仿宋_GB2312" w:cs="仿宋_GB2312"/>
          <w:kern w:val="0"/>
          <w:sz w:val="32"/>
          <w:szCs w:val="32"/>
          <w:lang w:eastAsia="zh-CN"/>
        </w:rPr>
        <w:t>县</w:t>
      </w:r>
      <w:r>
        <w:rPr>
          <w:rFonts w:hint="eastAsia" w:ascii="仿宋_GB2312" w:hAnsi="宋体" w:eastAsia="仿宋_GB2312" w:cs="仿宋_GB2312"/>
          <w:kern w:val="0"/>
          <w:sz w:val="32"/>
          <w:szCs w:val="32"/>
        </w:rPr>
        <w:t>财政</w:t>
      </w:r>
      <w:r>
        <w:rPr>
          <w:rFonts w:hint="eastAsia" w:ascii="仿宋_GB2312" w:hAnsi="宋体" w:eastAsia="仿宋_GB2312" w:cs="仿宋_GB2312"/>
          <w:kern w:val="0"/>
          <w:sz w:val="32"/>
          <w:szCs w:val="32"/>
          <w:lang w:eastAsia="zh-CN"/>
        </w:rPr>
        <w:t>局</w:t>
      </w:r>
      <w:r>
        <w:rPr>
          <w:rFonts w:hint="eastAsia" w:ascii="仿宋_GB2312" w:hAnsi="宋体" w:eastAsia="仿宋_GB2312" w:cs="仿宋_GB2312"/>
          <w:kern w:val="0"/>
          <w:sz w:val="32"/>
          <w:szCs w:val="32"/>
        </w:rPr>
        <w:t>。</w:t>
      </w:r>
    </w:p>
    <w:p>
      <w:pPr>
        <w:pStyle w:val="6"/>
        <w:snapToGrid w:val="0"/>
        <w:spacing w:line="360" w:lineRule="auto"/>
        <w:ind w:firstLine="0" w:firstLineChars="0"/>
        <w:rPr>
          <w:rFonts w:hint="eastAsia" w:ascii="仿宋_GB2312" w:eastAsia="仿宋_GB2312" w:cs="Times New Roman"/>
          <w:kern w:val="0"/>
          <w:sz w:val="32"/>
          <w:szCs w:val="32"/>
          <w:lang w:eastAsia="zh-CN"/>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（六）资料处理。</w:t>
      </w:r>
      <w:r>
        <w:rPr>
          <w:rFonts w:hint="eastAsia" w:ascii="仿宋_GB2312" w:hAnsi="宋体" w:eastAsia="仿宋_GB2312" w:cs="仿宋_GB2312"/>
          <w:kern w:val="0"/>
          <w:sz w:val="32"/>
          <w:szCs w:val="32"/>
        </w:rPr>
        <w:t>对</w:t>
      </w:r>
      <w:r>
        <w:rPr>
          <w:rFonts w:hint="eastAsia" w:ascii="仿宋_GB2312" w:hAnsi="宋体" w:eastAsia="仿宋_GB2312" w:cs="仿宋_GB2312"/>
          <w:kern w:val="0"/>
          <w:sz w:val="32"/>
          <w:szCs w:val="32"/>
          <w:lang w:eastAsia="zh-CN"/>
        </w:rPr>
        <w:t>县</w:t>
      </w:r>
      <w:r>
        <w:rPr>
          <w:rFonts w:hint="eastAsia" w:ascii="仿宋_GB2312" w:hAnsi="宋体" w:eastAsia="仿宋_GB2312" w:cs="仿宋_GB2312"/>
          <w:kern w:val="0"/>
          <w:sz w:val="32"/>
          <w:szCs w:val="32"/>
        </w:rPr>
        <w:t>财政</w:t>
      </w:r>
      <w:r>
        <w:rPr>
          <w:rFonts w:hint="eastAsia" w:ascii="仿宋_GB2312" w:hAnsi="宋体" w:eastAsia="仿宋_GB2312" w:cs="仿宋_GB2312"/>
          <w:kern w:val="0"/>
          <w:sz w:val="32"/>
          <w:szCs w:val="32"/>
          <w:lang w:eastAsia="zh-CN"/>
        </w:rPr>
        <w:t>局</w:t>
      </w:r>
      <w:r>
        <w:rPr>
          <w:rFonts w:hint="eastAsia" w:ascii="仿宋_GB2312" w:hAnsi="宋体" w:eastAsia="仿宋_GB2312" w:cs="仿宋_GB2312"/>
          <w:kern w:val="0"/>
          <w:sz w:val="32"/>
          <w:szCs w:val="32"/>
        </w:rPr>
        <w:t>未提出疑义的补贴申请，将其核验资料留存备用备查</w:t>
      </w:r>
      <w:r>
        <w:rPr>
          <w:rFonts w:hint="eastAsia" w:ascii="仿宋_GB2312" w:hAnsi="宋体" w:eastAsia="仿宋_GB2312" w:cs="仿宋_GB2312"/>
          <w:kern w:val="0"/>
          <w:sz w:val="32"/>
          <w:szCs w:val="32"/>
          <w:lang w:eastAsia="zh-CN"/>
        </w:rPr>
        <w:t>。</w:t>
      </w:r>
    </w:p>
    <w:p>
      <w:pPr>
        <w:pStyle w:val="6"/>
        <w:snapToGrid w:val="0"/>
        <w:spacing w:line="360" w:lineRule="auto"/>
        <w:ind w:firstLine="320" w:firstLineChars="100"/>
        <w:rPr>
          <w:rFonts w:ascii="黑体" w:hAnsi="黑体" w:eastAsia="黑体" w:cs="Times New Roman"/>
          <w:kern w:val="0"/>
          <w:sz w:val="32"/>
          <w:szCs w:val="32"/>
        </w:rPr>
      </w:pPr>
      <w:r>
        <w:rPr>
          <w:rFonts w:hint="eastAsia" w:ascii="黑体" w:hAnsi="黑体" w:eastAsia="黑体" w:cs="黑体"/>
          <w:kern w:val="0"/>
          <w:sz w:val="32"/>
          <w:szCs w:val="32"/>
        </w:rPr>
        <w:t>三、监督管理</w:t>
      </w:r>
    </w:p>
    <w:p>
      <w:pPr>
        <w:pStyle w:val="6"/>
        <w:snapToGrid w:val="0"/>
        <w:spacing w:line="360" w:lineRule="auto"/>
        <w:ind w:firstLine="0" w:firstLineChars="0"/>
        <w:rPr>
          <w:rFonts w:ascii="仿宋_GB2312" w:eastAsia="仿宋_GB2312" w:cs="Times New Roman"/>
          <w:kern w:val="0"/>
          <w:sz w:val="32"/>
          <w:szCs w:val="32"/>
        </w:rPr>
      </w:pPr>
      <w:r>
        <w:rPr>
          <w:rFonts w:ascii="宋体" w:hAnsi="宋体" w:cs="宋体"/>
          <w:kern w:val="0"/>
          <w:sz w:val="32"/>
          <w:szCs w:val="32"/>
        </w:rPr>
        <w:t xml:space="preserve">   </w:t>
      </w: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实行补贴申请受理、补贴机具核验岗位分离，明确岗位职责。</w:t>
      </w:r>
    </w:p>
    <w:p>
      <w:pPr>
        <w:pStyle w:val="6"/>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（二）推行购机承诺。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6"/>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w:t>
      </w:r>
      <w:r>
        <w:rPr>
          <w:rFonts w:hint="eastAsia" w:ascii="仿宋_GB2312" w:hAnsi="宋体" w:eastAsia="仿宋_GB2312" w:cs="仿宋_GB2312"/>
          <w:kern w:val="0"/>
          <w:sz w:val="32"/>
          <w:szCs w:val="32"/>
          <w:lang w:eastAsia="zh-CN"/>
        </w:rPr>
        <w:t>验</w:t>
      </w:r>
      <w:r>
        <w:rPr>
          <w:rFonts w:hint="eastAsia" w:ascii="仿宋_GB2312" w:hAnsi="宋体" w:eastAsia="仿宋_GB2312" w:cs="仿宋_GB2312"/>
          <w:kern w:val="0"/>
          <w:sz w:val="32"/>
          <w:szCs w:val="32"/>
        </w:rPr>
        <w:t>工作人员逐条书面登记，并及时报告分管领导。开展违规线索集体研究，对违规嫌疑较大或反复出现的应启动调查程序，对违规嫌疑较小的留存材料备查。对补贴机具核验争议处理等重大事项，及时报请县农机购置补贴领导小组研究决策。</w:t>
      </w:r>
    </w:p>
    <w:p>
      <w:pPr>
        <w:pStyle w:val="6"/>
        <w:snapToGrid w:val="0"/>
        <w:spacing w:line="360" w:lineRule="auto"/>
        <w:ind w:firstLine="0" w:firstLineChars="0"/>
        <w:rPr>
          <w:rFonts w:ascii="仿宋_GB2312" w:hAnsi="宋体" w:eastAsia="仿宋_GB2312" w:cs="Times New Roman"/>
          <w:kern w:val="0"/>
          <w:sz w:val="32"/>
          <w:szCs w:val="32"/>
        </w:rPr>
      </w:pPr>
      <w:r>
        <w:rPr>
          <w:rFonts w:hint="eastAsia" w:ascii="楷体_GB2312" w:hAnsi="宋体" w:eastAsia="楷体_GB2312" w:cs="楷体_GB2312"/>
          <w:b/>
          <w:bCs/>
          <w:kern w:val="0"/>
          <w:sz w:val="32"/>
          <w:szCs w:val="32"/>
        </w:rPr>
        <w:t>（四）严格监督管理。</w:t>
      </w:r>
      <w:r>
        <w:rPr>
          <w:rFonts w:hint="eastAsia" w:ascii="仿宋_GB2312" w:hAnsi="仿宋_GB2312" w:eastAsia="仿宋_GB2312" w:cs="仿宋_GB2312"/>
          <w:kern w:val="0"/>
          <w:sz w:val="32"/>
          <w:szCs w:val="32"/>
        </w:rPr>
        <w:t>健全内部控制制度，以机具核验流程为主线，逐项工作、逐个环节查找风险点，制定防控措施。</w:t>
      </w:r>
      <w:r>
        <w:rPr>
          <w:rFonts w:hint="eastAsia" w:ascii="仿宋_GB2312" w:hAnsi="宋体" w:eastAsia="仿宋_GB2312" w:cs="仿宋_GB2312"/>
          <w:kern w:val="0"/>
          <w:sz w:val="32"/>
          <w:szCs w:val="32"/>
        </w:rPr>
        <w:t>鼓励探索开展补贴机具第三方独立抽查核验和信息化技术核验。</w:t>
      </w:r>
    </w:p>
    <w:p>
      <w:pPr>
        <w:pStyle w:val="6"/>
        <w:snapToGrid w:val="0"/>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b w:val="0"/>
          <w:i w:val="0"/>
          <w:caps w:val="0"/>
          <w:color w:val="000000"/>
          <w:spacing w:val="0"/>
          <w:sz w:val="32"/>
          <w:szCs w:val="32"/>
          <w:shd w:val="clear" w:fill="FFFFFF"/>
        </w:rPr>
        <w:t>强化</w:t>
      </w:r>
      <w:r>
        <w:rPr>
          <w:rFonts w:hint="eastAsia" w:ascii="仿宋_GB2312" w:hAnsi="仿宋_GB2312" w:eastAsia="仿宋_GB2312" w:cs="仿宋_GB2312"/>
          <w:sz w:val="32"/>
          <w:szCs w:val="32"/>
        </w:rPr>
        <w:t>“谁办理、谁负责、谁核实、谁负责”严格责任追究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0"/>
          <w:sz w:val="32"/>
          <w:szCs w:val="32"/>
        </w:rPr>
        <w:t>规范</w:t>
      </w:r>
      <w:r>
        <w:rPr>
          <w:rFonts w:hint="eastAsia" w:ascii="仿宋_GB2312" w:hAnsi="仿宋_GB2312" w:eastAsia="仿宋_GB2312" w:cs="仿宋_GB2312"/>
          <w:kern w:val="0"/>
          <w:sz w:val="32"/>
          <w:szCs w:val="32"/>
          <w:lang w:eastAsia="zh-CN"/>
        </w:rPr>
        <w:t>申请</w:t>
      </w:r>
      <w:r>
        <w:rPr>
          <w:rFonts w:hint="eastAsia" w:ascii="仿宋_GB2312" w:hAnsi="仿宋_GB2312" w:eastAsia="仿宋_GB2312" w:cs="仿宋_GB2312"/>
          <w:kern w:val="0"/>
          <w:sz w:val="32"/>
          <w:szCs w:val="32"/>
        </w:rPr>
        <w:t>核验行为，防范管理风险，</w:t>
      </w:r>
      <w:r>
        <w:rPr>
          <w:rFonts w:hint="eastAsia" w:ascii="仿宋_GB2312" w:hAnsi="仿宋_GB2312" w:eastAsia="仿宋_GB2312" w:cs="仿宋_GB2312"/>
          <w:b w:val="0"/>
          <w:i w:val="0"/>
          <w:caps w:val="0"/>
          <w:color w:val="000000"/>
          <w:spacing w:val="0"/>
          <w:sz w:val="32"/>
          <w:szCs w:val="32"/>
          <w:shd w:val="clear" w:fill="FFFFFF"/>
        </w:rPr>
        <w:t>对参与农机购置补贴关键重点工作人员的廉政教育和业务培训，提升政策实施和风险防控能力，严禁有关人员以各种形式直接或间接进行补贴机具经营活动。切实提升补贴政策实施规范性，有效保障补贴资金安全。</w:t>
      </w:r>
    </w:p>
    <w:p>
      <w:pPr>
        <w:ind w:firstLine="5120" w:firstLineChars="1600"/>
        <w:rPr>
          <w:rFonts w:hint="eastAsia" w:ascii="仿宋_GB2312" w:hAnsi="仿宋_GB2312" w:eastAsia="仿宋_GB2312" w:cs="仿宋_GB2312"/>
          <w:sz w:val="32"/>
          <w:szCs w:val="32"/>
          <w:lang w:eastAsia="zh-CN"/>
        </w:rPr>
      </w:pPr>
    </w:p>
    <w:p>
      <w:pPr>
        <w:ind w:firstLine="5120" w:firstLineChars="1600"/>
        <w:rPr>
          <w:rFonts w:hint="eastAsia" w:ascii="仿宋_GB2312" w:hAnsi="仿宋_GB2312" w:eastAsia="仿宋_GB2312" w:cs="仿宋_GB2312"/>
          <w:sz w:val="32"/>
          <w:szCs w:val="32"/>
          <w:lang w:eastAsia="zh-CN"/>
        </w:rPr>
      </w:pPr>
    </w:p>
    <w:p>
      <w:pPr>
        <w:ind w:firstLine="5120" w:firstLineChars="1600"/>
        <w:rPr>
          <w:rFonts w:hint="eastAsia" w:ascii="仿宋_GB2312" w:hAnsi="仿宋_GB2312" w:eastAsia="仿宋_GB2312" w:cs="仿宋_GB2312"/>
          <w:sz w:val="32"/>
          <w:szCs w:val="32"/>
          <w:lang w:eastAsia="zh-CN"/>
        </w:rPr>
      </w:pPr>
    </w:p>
    <w:p>
      <w:pPr>
        <w:ind w:firstLine="5120" w:firstLineChars="1600"/>
        <w:rPr>
          <w:rFonts w:hint="eastAsia" w:ascii="仿宋_GB2312" w:hAnsi="仿宋_GB2312" w:eastAsia="仿宋_GB2312" w:cs="仿宋_GB2312"/>
          <w:sz w:val="32"/>
          <w:szCs w:val="32"/>
          <w:lang w:eastAsia="zh-CN"/>
        </w:rPr>
      </w:pPr>
    </w:p>
    <w:p>
      <w:pPr>
        <w:ind w:firstLine="3200" w:firstLineChars="10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伊川县农机购置补贴领导小组办公室</w:t>
      </w:r>
    </w:p>
    <w:p>
      <w:pPr>
        <w:bidi w:val="0"/>
        <w:rPr>
          <w:rFonts w:hint="eastAsia" w:ascii="Calibri" w:hAnsi="Calibri" w:eastAsia="宋体" w:cs="Calibri"/>
          <w:kern w:val="2"/>
          <w:sz w:val="21"/>
          <w:szCs w:val="21"/>
          <w:lang w:val="en-US" w:eastAsia="zh-CN" w:bidi="ar-SA"/>
        </w:rPr>
      </w:pPr>
    </w:p>
    <w:p>
      <w:pPr>
        <w:tabs>
          <w:tab w:val="left" w:pos="5128"/>
        </w:tabs>
        <w:bidi w:val="0"/>
        <w:jc w:val="left"/>
        <w:rPr>
          <w:rFonts w:hint="default"/>
          <w:sz w:val="32"/>
          <w:szCs w:val="32"/>
          <w:lang w:val="en-US" w:eastAsia="zh-CN"/>
        </w:rPr>
      </w:pPr>
      <w:r>
        <w:rPr>
          <w:rFonts w:hint="eastAsia"/>
          <w:lang w:val="en-US" w:eastAsia="zh-CN"/>
        </w:rPr>
        <w:tab/>
      </w:r>
      <w:r>
        <w:rPr>
          <w:rFonts w:hint="eastAsia"/>
          <w:sz w:val="32"/>
          <w:szCs w:val="32"/>
          <w:lang w:val="en-US" w:eastAsia="zh-CN"/>
        </w:rPr>
        <w:t>2019</w:t>
      </w:r>
      <w:bookmarkStart w:id="0" w:name="_GoBack"/>
      <w:bookmarkEnd w:id="0"/>
      <w:r>
        <w:rPr>
          <w:rFonts w:hint="eastAsia"/>
          <w:sz w:val="32"/>
          <w:szCs w:val="32"/>
          <w:lang w:val="en-US" w:eastAsia="zh-CN"/>
        </w:rPr>
        <w:t>年9 月20日</w:t>
      </w:r>
    </w:p>
    <w:p/>
    <w:sectPr>
      <w:footerReference r:id="rId3" w:type="default"/>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Fonts w:cs="Times New Roman"/>
      </w:rPr>
    </w:pPr>
    <w:r>
      <w:rPr>
        <w:rStyle w:val="5"/>
      </w:rPr>
      <w:fldChar w:fldCharType="begin"/>
    </w:r>
    <w:r>
      <w:rPr>
        <w:rStyle w:val="5"/>
      </w:rPr>
      <w:instrText xml:space="preserve">PAGE  </w:instrText>
    </w:r>
    <w:r>
      <w:rPr>
        <w:rStyle w:val="5"/>
      </w:rPr>
      <w:fldChar w:fldCharType="separate"/>
    </w:r>
    <w:r>
      <w:rPr>
        <w:rStyle w:val="5"/>
      </w:rPr>
      <w:t>1</w:t>
    </w:r>
    <w:r>
      <w:rPr>
        <w:rStyle w:val="5"/>
      </w:rPr>
      <w:fldChar w:fldCharType="end"/>
    </w:r>
  </w:p>
  <w:p>
    <w:pPr>
      <w:pStyle w:val="2"/>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B635E2"/>
    <w:rsid w:val="4A3166D8"/>
    <w:rsid w:val="76393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style>
  <w:style w:type="paragraph" w:styleId="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张扬个性</cp:lastModifiedBy>
  <dcterms:modified xsi:type="dcterms:W3CDTF">2020-03-26T08:02:54Z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